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47D" w:rsidRPr="00AF2AB5" w:rsidRDefault="0042547D" w:rsidP="00F550B8">
      <w:pPr>
        <w:spacing w:after="0" w:line="240" w:lineRule="auto"/>
        <w:jc w:val="both"/>
        <w:rPr>
          <w:rFonts w:ascii="Arial" w:hAnsi="Arial" w:cs="Arial"/>
          <w:b/>
          <w:color w:val="000000" w:themeColor="text1"/>
          <w:sz w:val="24"/>
          <w:szCs w:val="24"/>
        </w:rPr>
      </w:pPr>
      <w:r w:rsidRPr="00AF2AB5">
        <w:rPr>
          <w:rFonts w:ascii="Arial" w:hAnsi="Arial" w:cs="Arial"/>
          <w:b/>
          <w:color w:val="000000" w:themeColor="text1"/>
          <w:sz w:val="24"/>
          <w:szCs w:val="24"/>
        </w:rPr>
        <w:t>Lic. Célida Panduro González</w:t>
      </w:r>
    </w:p>
    <w:p w:rsidR="0042547D" w:rsidRPr="00AF2AB5" w:rsidRDefault="0042547D" w:rsidP="00F550B8">
      <w:pPr>
        <w:spacing w:after="0" w:line="240" w:lineRule="auto"/>
        <w:jc w:val="both"/>
        <w:rPr>
          <w:rFonts w:ascii="Arial" w:hAnsi="Arial" w:cs="Arial"/>
          <w:b/>
          <w:color w:val="000000" w:themeColor="text1"/>
          <w:sz w:val="24"/>
          <w:szCs w:val="24"/>
        </w:rPr>
      </w:pPr>
      <w:r w:rsidRPr="00AF2AB5">
        <w:rPr>
          <w:rFonts w:ascii="Arial" w:hAnsi="Arial" w:cs="Arial"/>
          <w:b/>
          <w:color w:val="000000" w:themeColor="text1"/>
          <w:sz w:val="24"/>
          <w:szCs w:val="24"/>
        </w:rPr>
        <w:t>Directora de la Unidad de Transparencia</w:t>
      </w:r>
    </w:p>
    <w:p w:rsidR="0042547D" w:rsidRPr="00AF2AB5" w:rsidRDefault="0042547D" w:rsidP="00F550B8">
      <w:pPr>
        <w:spacing w:after="0" w:line="240" w:lineRule="auto"/>
        <w:jc w:val="both"/>
        <w:rPr>
          <w:rFonts w:ascii="Arial" w:hAnsi="Arial" w:cs="Arial"/>
          <w:b/>
          <w:color w:val="000000" w:themeColor="text1"/>
          <w:sz w:val="24"/>
          <w:szCs w:val="24"/>
        </w:rPr>
      </w:pPr>
      <w:r w:rsidRPr="00AF2AB5">
        <w:rPr>
          <w:rFonts w:ascii="Arial" w:hAnsi="Arial" w:cs="Arial"/>
          <w:b/>
          <w:color w:val="000000" w:themeColor="text1"/>
          <w:sz w:val="24"/>
          <w:szCs w:val="24"/>
        </w:rPr>
        <w:t>Coordinación General Estratégica de Gestión del Territorio</w:t>
      </w:r>
    </w:p>
    <w:p w:rsidR="0042547D" w:rsidRPr="00AF2AB5" w:rsidRDefault="0042547D" w:rsidP="00F550B8">
      <w:pPr>
        <w:spacing w:after="0" w:line="240" w:lineRule="auto"/>
        <w:jc w:val="both"/>
        <w:rPr>
          <w:rFonts w:ascii="Arial" w:hAnsi="Arial" w:cs="Arial"/>
          <w:b/>
          <w:color w:val="000000" w:themeColor="text1"/>
          <w:sz w:val="24"/>
          <w:szCs w:val="24"/>
        </w:rPr>
      </w:pPr>
      <w:r w:rsidRPr="00AF2AB5">
        <w:rPr>
          <w:rFonts w:ascii="Arial" w:hAnsi="Arial" w:cs="Arial"/>
          <w:b/>
          <w:color w:val="000000" w:themeColor="text1"/>
          <w:sz w:val="24"/>
          <w:szCs w:val="24"/>
        </w:rPr>
        <w:t>Presente</w:t>
      </w:r>
    </w:p>
    <w:p w:rsidR="000A1602" w:rsidRPr="00AF2AB5" w:rsidRDefault="000A1602" w:rsidP="00F550B8">
      <w:pPr>
        <w:spacing w:after="0" w:line="240" w:lineRule="auto"/>
        <w:jc w:val="both"/>
        <w:rPr>
          <w:rFonts w:ascii="Arial" w:hAnsi="Arial" w:cs="Arial"/>
          <w:b/>
          <w:color w:val="000000" w:themeColor="text1"/>
          <w:sz w:val="24"/>
          <w:szCs w:val="24"/>
        </w:rPr>
      </w:pPr>
    </w:p>
    <w:p w:rsidR="000A1602" w:rsidRPr="00AF2AB5" w:rsidRDefault="000A1602" w:rsidP="00D46927">
      <w:pPr>
        <w:spacing w:after="0" w:line="240" w:lineRule="auto"/>
        <w:jc w:val="both"/>
        <w:rPr>
          <w:rFonts w:ascii="Arial" w:hAnsi="Arial" w:cs="Arial"/>
          <w:b/>
          <w:sz w:val="24"/>
          <w:szCs w:val="24"/>
        </w:rPr>
      </w:pPr>
      <w:r w:rsidRPr="00AF2AB5">
        <w:rPr>
          <w:rFonts w:ascii="Arial" w:hAnsi="Arial" w:cs="Arial"/>
          <w:sz w:val="24"/>
          <w:szCs w:val="24"/>
        </w:rPr>
        <w:t>Referente  a su solicitud de acceso a la información, remitida a esta Secretaría del Transporte, con fecha</w:t>
      </w:r>
      <w:r w:rsidR="004A2667" w:rsidRPr="00AF2AB5">
        <w:rPr>
          <w:rFonts w:ascii="Arial" w:hAnsi="Arial" w:cs="Arial"/>
          <w:sz w:val="24"/>
          <w:szCs w:val="24"/>
        </w:rPr>
        <w:t xml:space="preserve"> </w:t>
      </w:r>
      <w:r w:rsidR="00841B71">
        <w:rPr>
          <w:rFonts w:ascii="Arial" w:hAnsi="Arial" w:cs="Arial"/>
          <w:b/>
          <w:sz w:val="24"/>
          <w:szCs w:val="24"/>
        </w:rPr>
        <w:t>20</w:t>
      </w:r>
      <w:r w:rsidR="004A2667" w:rsidRPr="00AF2AB5">
        <w:rPr>
          <w:rFonts w:ascii="Arial" w:hAnsi="Arial" w:cs="Arial"/>
          <w:sz w:val="24"/>
          <w:szCs w:val="24"/>
        </w:rPr>
        <w:t xml:space="preserve"> </w:t>
      </w:r>
      <w:r w:rsidRPr="00AF2AB5">
        <w:rPr>
          <w:rFonts w:ascii="Arial" w:hAnsi="Arial" w:cs="Arial"/>
          <w:b/>
          <w:sz w:val="24"/>
          <w:szCs w:val="24"/>
        </w:rPr>
        <w:t xml:space="preserve">de </w:t>
      </w:r>
      <w:r w:rsidR="004A2667" w:rsidRPr="00AF2AB5">
        <w:rPr>
          <w:rFonts w:ascii="Arial" w:hAnsi="Arial" w:cs="Arial"/>
          <w:b/>
          <w:sz w:val="24"/>
          <w:szCs w:val="24"/>
        </w:rPr>
        <w:t>Marzo</w:t>
      </w:r>
      <w:r w:rsidR="00FA659E" w:rsidRPr="00AF2AB5">
        <w:rPr>
          <w:rFonts w:ascii="Arial" w:hAnsi="Arial" w:cs="Arial"/>
          <w:b/>
          <w:sz w:val="24"/>
          <w:szCs w:val="24"/>
        </w:rPr>
        <w:t xml:space="preserve"> </w:t>
      </w:r>
      <w:r w:rsidRPr="00AF2AB5">
        <w:rPr>
          <w:rFonts w:ascii="Arial" w:hAnsi="Arial" w:cs="Arial"/>
          <w:b/>
          <w:sz w:val="24"/>
          <w:szCs w:val="24"/>
        </w:rPr>
        <w:t xml:space="preserve">del </w:t>
      </w:r>
      <w:r w:rsidR="0062175C" w:rsidRPr="00AF2AB5">
        <w:rPr>
          <w:rFonts w:ascii="Arial" w:hAnsi="Arial" w:cs="Arial"/>
          <w:b/>
          <w:sz w:val="24"/>
          <w:szCs w:val="24"/>
        </w:rPr>
        <w:t>2026</w:t>
      </w:r>
      <w:r w:rsidR="000103B9" w:rsidRPr="00AF2AB5">
        <w:rPr>
          <w:rFonts w:ascii="Arial" w:hAnsi="Arial" w:cs="Arial"/>
          <w:sz w:val="24"/>
          <w:szCs w:val="24"/>
        </w:rPr>
        <w:t xml:space="preserve">, </w:t>
      </w:r>
      <w:r w:rsidRPr="00AF2AB5">
        <w:rPr>
          <w:rFonts w:ascii="Arial" w:hAnsi="Arial" w:cs="Arial"/>
          <w:sz w:val="24"/>
          <w:szCs w:val="24"/>
        </w:rPr>
        <w:t xml:space="preserve">nos </w:t>
      </w:r>
      <w:r w:rsidR="000103B9" w:rsidRPr="00AF2AB5">
        <w:rPr>
          <w:rFonts w:ascii="Arial" w:hAnsi="Arial" w:cs="Arial"/>
          <w:sz w:val="24"/>
          <w:szCs w:val="24"/>
        </w:rPr>
        <w:t xml:space="preserve">fue derivada por parte de la Unidad de Transparencia de la Coordinación General de Transparencia de Gestión del Territorio, </w:t>
      </w:r>
      <w:r w:rsidRPr="00AF2AB5">
        <w:rPr>
          <w:rFonts w:ascii="Arial" w:hAnsi="Arial" w:cs="Arial"/>
          <w:sz w:val="24"/>
          <w:szCs w:val="24"/>
        </w:rPr>
        <w:t xml:space="preserve">la siguiente solicitud de información </w:t>
      </w:r>
      <w:r w:rsidRPr="00AF2AB5">
        <w:rPr>
          <w:rFonts w:ascii="Arial" w:hAnsi="Arial" w:cs="Arial"/>
          <w:b/>
          <w:sz w:val="24"/>
          <w:szCs w:val="24"/>
        </w:rPr>
        <w:t>(sic):</w:t>
      </w:r>
    </w:p>
    <w:p w:rsidR="00D46927" w:rsidRPr="00AF2AB5" w:rsidRDefault="00D46927" w:rsidP="00D46927">
      <w:pPr>
        <w:spacing w:after="0" w:line="240" w:lineRule="auto"/>
        <w:ind w:firstLine="708"/>
        <w:jc w:val="both"/>
        <w:rPr>
          <w:rFonts w:ascii="Arial" w:hAnsi="Arial" w:cs="Arial"/>
          <w:i/>
          <w:sz w:val="24"/>
          <w:szCs w:val="24"/>
        </w:rPr>
      </w:pPr>
    </w:p>
    <w:p w:rsidR="00E01693" w:rsidRPr="00437333" w:rsidRDefault="00E01693" w:rsidP="00E01693">
      <w:pPr>
        <w:spacing w:after="0" w:line="240" w:lineRule="auto"/>
        <w:ind w:right="616"/>
        <w:jc w:val="both"/>
        <w:rPr>
          <w:rFonts w:ascii="Arial" w:hAnsi="Arial" w:cs="Arial"/>
          <w:b/>
          <w:sz w:val="24"/>
          <w:szCs w:val="24"/>
        </w:rPr>
      </w:pPr>
      <w:r>
        <w:rPr>
          <w:rFonts w:ascii="Arial" w:hAnsi="Arial" w:cs="Arial"/>
          <w:b/>
          <w:sz w:val="24"/>
          <w:szCs w:val="24"/>
        </w:rPr>
        <w:t>“</w:t>
      </w:r>
      <w:r w:rsidRPr="00437333">
        <w:rPr>
          <w:rFonts w:ascii="Arial" w:hAnsi="Arial" w:cs="Arial"/>
          <w:b/>
          <w:sz w:val="24"/>
          <w:szCs w:val="24"/>
        </w:rPr>
        <w:t>Solicito, en formato abierto y reutilizable (CSV, X</w:t>
      </w:r>
      <w:r>
        <w:rPr>
          <w:rFonts w:ascii="Arial" w:hAnsi="Arial" w:cs="Arial"/>
          <w:b/>
          <w:sz w:val="24"/>
          <w:szCs w:val="24"/>
        </w:rPr>
        <w:t xml:space="preserve">LSX o equivalente), los valores </w:t>
      </w:r>
      <w:r w:rsidRPr="00437333">
        <w:rPr>
          <w:rFonts w:ascii="Arial" w:hAnsi="Arial" w:cs="Arial"/>
          <w:b/>
          <w:sz w:val="24"/>
          <w:szCs w:val="24"/>
        </w:rPr>
        <w:t>numéricos exactos de las ponderaciones PC, PCOV y PRH utilizadas en la fórmula de indexación tarifaria que derivó en el dictamen aprobado por el Comité Técnico Tarifario el 26 de diciembre 2025.</w:t>
      </w:r>
    </w:p>
    <w:p w:rsidR="00E01693" w:rsidRPr="00437333" w:rsidRDefault="00E01693" w:rsidP="00E01693">
      <w:pPr>
        <w:spacing w:after="0" w:line="240" w:lineRule="auto"/>
        <w:ind w:right="616"/>
        <w:jc w:val="both"/>
        <w:rPr>
          <w:rFonts w:ascii="Arial" w:hAnsi="Arial" w:cs="Arial"/>
          <w:b/>
          <w:sz w:val="24"/>
          <w:szCs w:val="24"/>
        </w:rPr>
      </w:pPr>
      <w:r w:rsidRPr="00437333">
        <w:rPr>
          <w:rFonts w:ascii="Arial" w:hAnsi="Arial" w:cs="Arial"/>
          <w:b/>
          <w:sz w:val="24"/>
          <w:szCs w:val="24"/>
        </w:rPr>
        <w:t>Esto incluye los datos utilizados, las operaciones realizadas y cualquier documento que permita reproducir el cálculo de dichas ponderaciones. En caso de que estas deriven de estudios previos, solicito dichos estudios completos con sus anexos metodológicos, bases de datos y fuentes...”</w:t>
      </w:r>
    </w:p>
    <w:p w:rsidR="00B3415E" w:rsidRPr="00AF2AB5" w:rsidRDefault="00B3415E" w:rsidP="00E01693">
      <w:pPr>
        <w:pStyle w:val="Sinespaciado"/>
        <w:jc w:val="both"/>
        <w:rPr>
          <w:rFonts w:ascii="Arial" w:hAnsi="Arial" w:cs="Arial"/>
          <w:sz w:val="24"/>
          <w:szCs w:val="24"/>
        </w:rPr>
      </w:pPr>
    </w:p>
    <w:p w:rsidR="000A1602" w:rsidRPr="00AF2AB5" w:rsidRDefault="007C5FFE" w:rsidP="00F550B8">
      <w:pPr>
        <w:spacing w:after="240" w:line="240" w:lineRule="auto"/>
        <w:jc w:val="both"/>
        <w:rPr>
          <w:rFonts w:ascii="Arial" w:hAnsi="Arial" w:cs="Arial"/>
          <w:b/>
          <w:sz w:val="24"/>
          <w:szCs w:val="24"/>
        </w:rPr>
      </w:pPr>
      <w:r w:rsidRPr="00AF2AB5">
        <w:rPr>
          <w:rFonts w:ascii="Arial" w:hAnsi="Arial" w:cs="Arial"/>
          <w:b/>
          <w:sz w:val="24"/>
          <w:szCs w:val="24"/>
        </w:rPr>
        <w:t>S</w:t>
      </w:r>
      <w:r w:rsidR="002D45B3" w:rsidRPr="00AF2AB5">
        <w:rPr>
          <w:rFonts w:ascii="Arial" w:hAnsi="Arial" w:cs="Arial"/>
          <w:b/>
          <w:sz w:val="24"/>
          <w:szCs w:val="24"/>
        </w:rPr>
        <w:t xml:space="preserve">e </w:t>
      </w:r>
      <w:r w:rsidR="00045E2A" w:rsidRPr="00AF2AB5">
        <w:rPr>
          <w:rFonts w:ascii="Arial" w:hAnsi="Arial" w:cs="Arial"/>
          <w:b/>
          <w:sz w:val="24"/>
          <w:szCs w:val="24"/>
        </w:rPr>
        <w:t>le envía la siguiente propuesta de resolución, salvo su mejor opinión:</w:t>
      </w:r>
    </w:p>
    <w:p w:rsidR="000A1602" w:rsidRPr="00AF2AB5" w:rsidRDefault="00B44114" w:rsidP="00F550B8">
      <w:pPr>
        <w:spacing w:after="0" w:line="240" w:lineRule="auto"/>
        <w:jc w:val="both"/>
        <w:rPr>
          <w:rFonts w:ascii="Arial" w:hAnsi="Arial" w:cs="Arial"/>
          <w:sz w:val="24"/>
          <w:szCs w:val="24"/>
        </w:rPr>
      </w:pPr>
      <w:r w:rsidRPr="00AF2AB5">
        <w:rPr>
          <w:rFonts w:ascii="Arial" w:hAnsi="Arial" w:cs="Arial"/>
          <w:b/>
          <w:sz w:val="24"/>
          <w:szCs w:val="24"/>
          <w:u w:val="single"/>
        </w:rPr>
        <w:t>AFIRMATIVO PARCIAL</w:t>
      </w:r>
      <w:r w:rsidRPr="00AF2AB5">
        <w:rPr>
          <w:rFonts w:ascii="Arial" w:hAnsi="Arial" w:cs="Arial"/>
          <w:sz w:val="24"/>
          <w:szCs w:val="24"/>
        </w:rPr>
        <w:t xml:space="preserve"> </w:t>
      </w:r>
      <w:r w:rsidR="000A1602" w:rsidRPr="00AF2AB5">
        <w:rPr>
          <w:rFonts w:ascii="Arial" w:hAnsi="Arial" w:cs="Arial"/>
          <w:sz w:val="24"/>
          <w:szCs w:val="24"/>
        </w:rPr>
        <w:t>por inexistencia, se otorga la información con la que se cuenta y como se tiene generada. (</w:t>
      </w:r>
      <w:r w:rsidR="0037102B" w:rsidRPr="00AF2AB5">
        <w:rPr>
          <w:rFonts w:ascii="Arial" w:hAnsi="Arial" w:cs="Arial"/>
          <w:sz w:val="24"/>
          <w:szCs w:val="24"/>
        </w:rPr>
        <w:t>Artículos</w:t>
      </w:r>
      <w:r w:rsidR="000A1602" w:rsidRPr="00AF2AB5">
        <w:rPr>
          <w:rFonts w:ascii="Arial" w:hAnsi="Arial" w:cs="Arial"/>
          <w:sz w:val="24"/>
          <w:szCs w:val="24"/>
        </w:rPr>
        <w:t xml:space="preserve"> 86.1 fracción II, 87.1 fracción III, puntos 2 y 3, de la Ley de Transparencia  y Acceso a la Información Pública del Estado de Jalisco y sus Municipios.) </w:t>
      </w:r>
    </w:p>
    <w:p w:rsidR="000A1602" w:rsidRPr="00AF2AB5" w:rsidRDefault="000A1602" w:rsidP="00F550B8">
      <w:pPr>
        <w:spacing w:after="0" w:line="240" w:lineRule="auto"/>
        <w:jc w:val="both"/>
        <w:rPr>
          <w:rFonts w:ascii="Arial" w:hAnsi="Arial" w:cs="Arial"/>
          <w:sz w:val="24"/>
          <w:szCs w:val="24"/>
        </w:rPr>
      </w:pPr>
    </w:p>
    <w:p w:rsidR="0037102B" w:rsidRPr="00AF2AB5" w:rsidRDefault="000A1602" w:rsidP="00F550B8">
      <w:pPr>
        <w:jc w:val="both"/>
        <w:rPr>
          <w:rFonts w:ascii="Arial" w:hAnsi="Arial" w:cs="Arial"/>
          <w:b/>
          <w:sz w:val="24"/>
          <w:szCs w:val="24"/>
        </w:rPr>
      </w:pPr>
      <w:r w:rsidRPr="00AF2AB5">
        <w:rPr>
          <w:rFonts w:ascii="Arial" w:hAnsi="Arial" w:cs="Arial"/>
          <w:sz w:val="24"/>
          <w:szCs w:val="24"/>
        </w:rPr>
        <w:t xml:space="preserve">De acuerdo a lo anterior solicitado por el ciudadano, le hago llegar la información proporcionada por </w:t>
      </w:r>
      <w:r w:rsidR="00BD34FA" w:rsidRPr="00AF2AB5">
        <w:rPr>
          <w:rFonts w:ascii="Arial" w:hAnsi="Arial" w:cs="Arial"/>
          <w:sz w:val="24"/>
          <w:szCs w:val="24"/>
        </w:rPr>
        <w:t xml:space="preserve"> </w:t>
      </w:r>
      <w:r w:rsidR="00BD34FA" w:rsidRPr="00AF2AB5">
        <w:rPr>
          <w:rFonts w:ascii="Arial" w:hAnsi="Arial" w:cs="Arial"/>
          <w:b/>
          <w:sz w:val="24"/>
          <w:szCs w:val="24"/>
        </w:rPr>
        <w:t>LA</w:t>
      </w:r>
      <w:r w:rsidR="00BD34FA" w:rsidRPr="00AF2AB5">
        <w:rPr>
          <w:rFonts w:ascii="Arial" w:hAnsi="Arial" w:cs="Arial"/>
          <w:sz w:val="24"/>
          <w:szCs w:val="24"/>
        </w:rPr>
        <w:t xml:space="preserve"> </w:t>
      </w:r>
      <w:r w:rsidR="00046137" w:rsidRPr="00AF2AB5">
        <w:rPr>
          <w:rFonts w:ascii="Arial" w:hAnsi="Arial" w:cs="Arial"/>
          <w:b/>
          <w:sz w:val="24"/>
          <w:szCs w:val="24"/>
        </w:rPr>
        <w:t>DIRECCION</w:t>
      </w:r>
      <w:r w:rsidR="00A64C39" w:rsidRPr="00AF2AB5">
        <w:rPr>
          <w:rFonts w:ascii="Arial" w:hAnsi="Arial" w:cs="Arial"/>
          <w:b/>
          <w:sz w:val="24"/>
          <w:szCs w:val="24"/>
        </w:rPr>
        <w:t xml:space="preserve"> GENERAL DE TRANSPORTE </w:t>
      </w:r>
      <w:r w:rsidR="00722072" w:rsidRPr="00AF2AB5">
        <w:rPr>
          <w:rFonts w:ascii="Arial" w:hAnsi="Arial" w:cs="Arial"/>
          <w:b/>
          <w:sz w:val="24"/>
          <w:szCs w:val="24"/>
        </w:rPr>
        <w:t>PÚBLICO</w:t>
      </w:r>
      <w:r w:rsidRPr="00AF2AB5">
        <w:rPr>
          <w:rFonts w:ascii="Arial" w:hAnsi="Arial" w:cs="Arial"/>
          <w:b/>
          <w:sz w:val="24"/>
          <w:szCs w:val="24"/>
        </w:rPr>
        <w:t>,</w:t>
      </w:r>
      <w:r w:rsidR="002B1BC5">
        <w:rPr>
          <w:rFonts w:ascii="Arial" w:hAnsi="Arial" w:cs="Arial"/>
          <w:b/>
          <w:sz w:val="24"/>
          <w:szCs w:val="24"/>
        </w:rPr>
        <w:t xml:space="preserve"> </w:t>
      </w:r>
      <w:r w:rsidR="00403569" w:rsidRPr="00AF2AB5">
        <w:rPr>
          <w:rFonts w:ascii="Arial" w:hAnsi="Arial" w:cs="Arial"/>
          <w:sz w:val="24"/>
          <w:szCs w:val="24"/>
        </w:rPr>
        <w:t>donde manifiestan lo siguiente</w:t>
      </w:r>
      <w:r w:rsidR="00403569" w:rsidRPr="00AF2AB5">
        <w:rPr>
          <w:rFonts w:ascii="Arial" w:hAnsi="Arial" w:cs="Arial"/>
          <w:b/>
          <w:sz w:val="24"/>
          <w:szCs w:val="24"/>
        </w:rPr>
        <w:t xml:space="preserve"> </w:t>
      </w:r>
      <w:r w:rsidRPr="00AF2AB5">
        <w:rPr>
          <w:rFonts w:ascii="Arial" w:hAnsi="Arial" w:cs="Arial"/>
          <w:b/>
          <w:sz w:val="24"/>
          <w:szCs w:val="24"/>
        </w:rPr>
        <w:t>(</w:t>
      </w:r>
      <w:r w:rsidR="00F41A5A" w:rsidRPr="00AF2AB5">
        <w:rPr>
          <w:rFonts w:ascii="Arial" w:hAnsi="Arial" w:cs="Arial"/>
          <w:b/>
          <w:sz w:val="24"/>
          <w:szCs w:val="24"/>
        </w:rPr>
        <w:t>sic</w:t>
      </w:r>
      <w:r w:rsidRPr="00AF2AB5">
        <w:rPr>
          <w:rFonts w:ascii="Arial" w:hAnsi="Arial" w:cs="Arial"/>
          <w:b/>
          <w:sz w:val="24"/>
          <w:szCs w:val="24"/>
        </w:rPr>
        <w:t>):</w:t>
      </w:r>
    </w:p>
    <w:p w:rsidR="00E01693" w:rsidRPr="0031046B" w:rsidRDefault="00E01693" w:rsidP="00E01693">
      <w:pPr>
        <w:spacing w:after="0" w:line="240" w:lineRule="auto"/>
        <w:jc w:val="both"/>
        <w:rPr>
          <w:rFonts w:ascii="Century Gothic" w:hAnsi="Century Gothic"/>
          <w:color w:val="000000"/>
          <w:sz w:val="21"/>
          <w:szCs w:val="21"/>
        </w:rPr>
      </w:pPr>
      <w:r w:rsidRPr="009F27DB">
        <w:rPr>
          <w:rFonts w:ascii="Arial" w:hAnsi="Arial" w:cs="Arial"/>
          <w:sz w:val="24"/>
          <w:szCs w:val="24"/>
        </w:rPr>
        <w:t>“</w:t>
      </w:r>
      <w:r w:rsidR="009F27DB">
        <w:rPr>
          <w:rFonts w:ascii="Arial" w:hAnsi="Arial" w:cs="Arial"/>
          <w:sz w:val="24"/>
          <w:szCs w:val="24"/>
        </w:rPr>
        <w:t>Respecto</w:t>
      </w:r>
      <w:r w:rsidRPr="0031046B">
        <w:rPr>
          <w:rFonts w:ascii="Century Gothic" w:hAnsi="Century Gothic"/>
          <w:color w:val="000000"/>
          <w:sz w:val="21"/>
          <w:szCs w:val="21"/>
        </w:rPr>
        <w:t xml:space="preserve"> a lo solicitado con anterioridad a esta Digna Dirección se hace de su conocimiento que en la Sesión del Comité Técnico Tarifario, el mismo únicamente comparte el porcentaje de indexación (7.72%) y hace referencia mediante sus atribuciones a la Tarifa Ponderada multianual de $13.03 (trece pesos 00/100 M.N). Considerando que la tarifa base del 2026 es $10.37 y la ponderada por año se establece de la siguiente manera:</w:t>
      </w:r>
    </w:p>
    <w:p w:rsidR="00E01693" w:rsidRPr="0031046B" w:rsidRDefault="00E01693" w:rsidP="00E01693">
      <w:pPr>
        <w:spacing w:after="0" w:line="240" w:lineRule="auto"/>
        <w:jc w:val="both"/>
        <w:rPr>
          <w:rFonts w:ascii="Century Gothic" w:hAnsi="Century Gothic"/>
          <w:color w:val="000000"/>
          <w:sz w:val="21"/>
          <w:szCs w:val="21"/>
        </w:rPr>
      </w:pPr>
    </w:p>
    <w:p w:rsidR="00E01693" w:rsidRPr="0031046B" w:rsidRDefault="00E01693" w:rsidP="00E01693">
      <w:pPr>
        <w:spacing w:after="0" w:line="240" w:lineRule="auto"/>
        <w:jc w:val="center"/>
        <w:rPr>
          <w:rFonts w:ascii="Century Gothic" w:hAnsi="Century Gothic"/>
          <w:color w:val="000000"/>
          <w:sz w:val="21"/>
          <w:szCs w:val="21"/>
        </w:rPr>
      </w:pPr>
      <w:r w:rsidRPr="0031046B">
        <w:rPr>
          <w:noProof/>
          <w:sz w:val="21"/>
          <w:szCs w:val="21"/>
        </w:rPr>
        <w:lastRenderedPageBreak/>
        <w:drawing>
          <wp:inline distT="0" distB="0" distL="0" distR="0">
            <wp:extent cx="2258171" cy="1661823"/>
            <wp:effectExtent l="0" t="0" r="889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8171" cy="1661823"/>
                    </a:xfrm>
                    <a:prstGeom prst="rect">
                      <a:avLst/>
                    </a:prstGeom>
                    <a:noFill/>
                    <a:ln>
                      <a:noFill/>
                    </a:ln>
                    <a:effectLst/>
                    <a:extLst/>
                  </pic:spPr>
                </pic:pic>
              </a:graphicData>
            </a:graphic>
          </wp:inline>
        </w:drawing>
      </w:r>
    </w:p>
    <w:p w:rsidR="00E01693" w:rsidRPr="0031046B" w:rsidRDefault="00E01693" w:rsidP="00E01693">
      <w:pPr>
        <w:spacing w:after="0" w:line="240" w:lineRule="auto"/>
        <w:jc w:val="center"/>
        <w:rPr>
          <w:rFonts w:ascii="Century Gothic" w:hAnsi="Century Gothic"/>
          <w:color w:val="000000"/>
          <w:sz w:val="21"/>
          <w:szCs w:val="21"/>
        </w:rPr>
      </w:pPr>
    </w:p>
    <w:p w:rsidR="00E01693" w:rsidRPr="0031046B" w:rsidRDefault="00E01693" w:rsidP="00E01693">
      <w:pPr>
        <w:spacing w:after="0" w:line="240" w:lineRule="auto"/>
        <w:jc w:val="both"/>
        <w:rPr>
          <w:rFonts w:ascii="Century Gothic" w:hAnsi="Century Gothic"/>
          <w:sz w:val="21"/>
          <w:szCs w:val="21"/>
        </w:rPr>
      </w:pPr>
      <w:r w:rsidRPr="0031046B">
        <w:rPr>
          <w:rFonts w:ascii="Century Gothic" w:hAnsi="Century Gothic"/>
          <w:color w:val="000000"/>
          <w:sz w:val="21"/>
          <w:szCs w:val="21"/>
        </w:rPr>
        <w:t xml:space="preserve">Cabe resalta que conforme el Artículo </w:t>
      </w:r>
      <w:r w:rsidRPr="0031046B">
        <w:rPr>
          <w:rFonts w:ascii="Century Gothic" w:hAnsi="Century Gothic"/>
          <w:sz w:val="21"/>
          <w:szCs w:val="21"/>
        </w:rPr>
        <w:t>334° de la Ley de Seguridad Vial y Transporte del Estado de Jalisco es atribución del Ejecutivo definir la política pública tarifaria:</w:t>
      </w:r>
    </w:p>
    <w:p w:rsidR="00E01693" w:rsidRPr="0031046B" w:rsidRDefault="00E01693" w:rsidP="00E01693">
      <w:pPr>
        <w:spacing w:after="0" w:line="240" w:lineRule="auto"/>
        <w:jc w:val="both"/>
        <w:rPr>
          <w:rFonts w:ascii="Century Gothic" w:hAnsi="Century Gothic"/>
          <w:sz w:val="21"/>
          <w:szCs w:val="21"/>
        </w:rPr>
      </w:pPr>
    </w:p>
    <w:p w:rsidR="00E01693" w:rsidRPr="0031046B" w:rsidRDefault="00E01693" w:rsidP="00E01693">
      <w:pPr>
        <w:spacing w:after="0" w:line="240" w:lineRule="auto"/>
        <w:ind w:left="567" w:right="616"/>
        <w:jc w:val="both"/>
        <w:rPr>
          <w:rFonts w:ascii="Century Gothic" w:hAnsi="Century Gothic"/>
          <w:b/>
          <w:i/>
          <w:sz w:val="21"/>
          <w:szCs w:val="21"/>
        </w:rPr>
      </w:pPr>
      <w:r w:rsidRPr="0031046B">
        <w:rPr>
          <w:rFonts w:ascii="Century Gothic" w:hAnsi="Century Gothic"/>
          <w:b/>
          <w:i/>
          <w:sz w:val="21"/>
          <w:szCs w:val="21"/>
        </w:rPr>
        <w:t xml:space="preserve">“… Notificación de la tarifa indexada. </w:t>
      </w:r>
    </w:p>
    <w:p w:rsidR="00E01693" w:rsidRPr="0031046B" w:rsidRDefault="00E01693" w:rsidP="00E01693">
      <w:pPr>
        <w:spacing w:after="0" w:line="240" w:lineRule="auto"/>
        <w:ind w:left="567" w:right="616"/>
        <w:jc w:val="both"/>
        <w:rPr>
          <w:rFonts w:ascii="Century Gothic" w:hAnsi="Century Gothic"/>
          <w:b/>
          <w:i/>
          <w:sz w:val="21"/>
          <w:szCs w:val="21"/>
        </w:rPr>
      </w:pPr>
      <w:r w:rsidRPr="0031046B">
        <w:rPr>
          <w:rFonts w:ascii="Century Gothic" w:hAnsi="Century Gothic"/>
          <w:b/>
          <w:i/>
          <w:sz w:val="21"/>
          <w:szCs w:val="21"/>
        </w:rPr>
        <w:t xml:space="preserve">1. El Comité Técnico Tarifario deberá notificar a la persona Titular del Poder Ejecutivo el resultado de la tarifa indexada. </w:t>
      </w:r>
    </w:p>
    <w:p w:rsidR="00E01693" w:rsidRPr="0031046B" w:rsidRDefault="00E01693" w:rsidP="00E01693">
      <w:pPr>
        <w:spacing w:after="0" w:line="240" w:lineRule="auto"/>
        <w:ind w:left="567" w:right="616"/>
        <w:jc w:val="both"/>
        <w:rPr>
          <w:rFonts w:ascii="Century Gothic" w:hAnsi="Century Gothic"/>
          <w:b/>
          <w:i/>
          <w:sz w:val="21"/>
          <w:szCs w:val="21"/>
        </w:rPr>
      </w:pPr>
      <w:r w:rsidRPr="0031046B">
        <w:rPr>
          <w:rFonts w:ascii="Century Gothic" w:hAnsi="Century Gothic"/>
          <w:b/>
          <w:i/>
          <w:sz w:val="21"/>
          <w:szCs w:val="21"/>
        </w:rPr>
        <w:t>2. Una vez notificado el resultado de la tarifa indexada al Ejecutivo, éste procederá a evaluar y definir la política pública tarifaria, para que la misma sea aplicada en el siguiente año calendario, previo a su publicación en el Periódico Oficial “El Estado de Jalisco”…”</w:t>
      </w:r>
    </w:p>
    <w:p w:rsidR="00E01693" w:rsidRPr="0031046B" w:rsidRDefault="00E01693" w:rsidP="00E01693">
      <w:pPr>
        <w:spacing w:after="0" w:line="240" w:lineRule="auto"/>
        <w:ind w:left="567" w:right="616"/>
        <w:jc w:val="both"/>
        <w:rPr>
          <w:rFonts w:ascii="Century Gothic" w:hAnsi="Century Gothic"/>
          <w:b/>
          <w:i/>
          <w:sz w:val="21"/>
          <w:szCs w:val="21"/>
        </w:rPr>
      </w:pPr>
    </w:p>
    <w:p w:rsidR="00E01693" w:rsidRPr="0031046B" w:rsidRDefault="00E01693" w:rsidP="00E01693">
      <w:pPr>
        <w:tabs>
          <w:tab w:val="left" w:pos="8789"/>
        </w:tabs>
        <w:spacing w:after="0" w:line="240" w:lineRule="auto"/>
        <w:ind w:right="49"/>
        <w:jc w:val="both"/>
        <w:rPr>
          <w:rFonts w:ascii="Century Gothic" w:hAnsi="Century Gothic"/>
          <w:sz w:val="21"/>
          <w:szCs w:val="21"/>
        </w:rPr>
      </w:pPr>
      <w:r w:rsidRPr="0031046B">
        <w:rPr>
          <w:rFonts w:ascii="Century Gothic" w:hAnsi="Century Gothic" w:cs="Arial"/>
          <w:bCs/>
          <w:color w:val="000000"/>
          <w:sz w:val="21"/>
          <w:szCs w:val="21"/>
        </w:rPr>
        <w:t>Se hace de su conocimiento los anexos al documento</w:t>
      </w:r>
      <w:r w:rsidRPr="0031046B">
        <w:rPr>
          <w:rFonts w:ascii="Century Gothic" w:hAnsi="Century Gothic" w:cs="Arial"/>
          <w:color w:val="000000"/>
          <w:sz w:val="21"/>
          <w:szCs w:val="21"/>
        </w:rPr>
        <w:t xml:space="preserve"> de los</w:t>
      </w:r>
      <w:r w:rsidRPr="0031046B">
        <w:rPr>
          <w:rFonts w:ascii="Century Gothic" w:hAnsi="Century Gothic"/>
          <w:sz w:val="21"/>
          <w:szCs w:val="21"/>
        </w:rPr>
        <w:t xml:space="preserve"> valores de los insumos que se obtiene de fuentes públicas dentro de los enlaces, se comparte por medio del presente los resultados compartidos por las autoridades competentes:</w:t>
      </w:r>
    </w:p>
    <w:p w:rsidR="00E01693" w:rsidRPr="0031046B" w:rsidRDefault="00E01693" w:rsidP="00E01693">
      <w:pPr>
        <w:tabs>
          <w:tab w:val="left" w:pos="8789"/>
        </w:tabs>
        <w:spacing w:after="0" w:line="240" w:lineRule="auto"/>
        <w:ind w:right="49"/>
        <w:jc w:val="both"/>
        <w:rPr>
          <w:rFonts w:ascii="Century Gothic" w:hAnsi="Century Gothic" w:cs="Arial"/>
          <w:color w:val="000000"/>
          <w:sz w:val="21"/>
          <w:szCs w:val="21"/>
        </w:rPr>
      </w:pPr>
    </w:p>
    <w:p w:rsidR="00E01693" w:rsidRPr="0031046B" w:rsidRDefault="00E01693" w:rsidP="00E01693">
      <w:pPr>
        <w:jc w:val="both"/>
        <w:rPr>
          <w:rFonts w:ascii="Century Gothic" w:hAnsi="Century Gothic" w:cs="Arial"/>
          <w:sz w:val="21"/>
          <w:szCs w:val="21"/>
        </w:rPr>
      </w:pPr>
      <w:r w:rsidRPr="0031046B">
        <w:rPr>
          <w:rFonts w:ascii="Century Gothic" w:hAnsi="Century Gothic" w:cs="Arial"/>
          <w:sz w:val="21"/>
          <w:szCs w:val="21"/>
        </w:rPr>
        <w:t xml:space="preserve">Respecto al indicador </w:t>
      </w:r>
      <w:r w:rsidRPr="0031046B">
        <w:rPr>
          <w:rFonts w:ascii="Century Gothic" w:hAnsi="Century Gothic" w:cs="Arial"/>
          <w:b/>
          <w:sz w:val="21"/>
          <w:szCs w:val="21"/>
        </w:rPr>
        <w:t>"Valor y variación del precio de los combustibles"</w:t>
      </w:r>
      <w:r w:rsidRPr="0031046B">
        <w:rPr>
          <w:rFonts w:ascii="Century Gothic" w:hAnsi="Century Gothic" w:cs="Arial"/>
          <w:sz w:val="21"/>
          <w:szCs w:val="21"/>
        </w:rPr>
        <w:t xml:space="preserve">, se observaron los datos de </w:t>
      </w:r>
      <w:r w:rsidRPr="0031046B">
        <w:rPr>
          <w:rFonts w:ascii="Century Gothic" w:hAnsi="Century Gothic" w:cs="Arial"/>
          <w:b/>
          <w:sz w:val="21"/>
          <w:szCs w:val="21"/>
        </w:rPr>
        <w:t xml:space="preserve">"Precios promedio mensuales de diésel, en estaciones de servicio de expendio al público." </w:t>
      </w:r>
      <w:r w:rsidRPr="0031046B">
        <w:rPr>
          <w:rFonts w:ascii="Century Gothic" w:hAnsi="Century Gothic" w:cs="Arial"/>
          <w:sz w:val="21"/>
          <w:szCs w:val="21"/>
        </w:rPr>
        <w:t>proporcionados vía correo electrónico institucional por la Subsecretaría de Hidrocarburos de la Secretaría de Energía del Gobierno de México.</w:t>
      </w:r>
    </w:p>
    <w:p w:rsidR="00E01693" w:rsidRPr="0031046B" w:rsidRDefault="00E01693" w:rsidP="00E01693">
      <w:pPr>
        <w:jc w:val="both"/>
        <w:rPr>
          <w:rFonts w:ascii="Century Gothic" w:hAnsi="Century Gothic" w:cs="Arial"/>
          <w:sz w:val="21"/>
          <w:szCs w:val="21"/>
        </w:rPr>
      </w:pPr>
      <w:r w:rsidRPr="0031046B">
        <w:rPr>
          <w:rFonts w:ascii="Century Gothic" w:hAnsi="Century Gothic" w:cs="Arial"/>
          <w:sz w:val="21"/>
          <w:szCs w:val="21"/>
        </w:rPr>
        <w:t>La disposición de los datos corresponde de enero del año 2018 al mes mayo del año 2025; Los cuales se describen a continuación:</w:t>
      </w:r>
    </w:p>
    <w:p w:rsidR="00E01693" w:rsidRPr="0031046B" w:rsidRDefault="00E01693" w:rsidP="00E01693">
      <w:pPr>
        <w:jc w:val="center"/>
        <w:rPr>
          <w:rFonts w:ascii="Century Gothic" w:hAnsi="Century Gothic" w:cs="Arial"/>
          <w:sz w:val="21"/>
          <w:szCs w:val="21"/>
        </w:rPr>
      </w:pPr>
      <w:r w:rsidRPr="0031046B">
        <w:rPr>
          <w:rFonts w:ascii="Century Gothic" w:hAnsi="Century Gothic" w:cs="Arial"/>
          <w:b/>
          <w:sz w:val="21"/>
          <w:szCs w:val="21"/>
        </w:rPr>
        <w:t>Tabla 1.</w:t>
      </w:r>
      <w:r w:rsidRPr="0031046B">
        <w:rPr>
          <w:rFonts w:ascii="Century Gothic" w:hAnsi="Century Gothic" w:cs="Arial"/>
          <w:sz w:val="21"/>
          <w:szCs w:val="21"/>
        </w:rPr>
        <w:t xml:space="preserve"> Precios promedio mensuales de diésel.</w:t>
      </w:r>
    </w:p>
    <w:tbl>
      <w:tblPr>
        <w:tblW w:w="7557" w:type="dxa"/>
        <w:jc w:val="center"/>
        <w:tblCellMar>
          <w:left w:w="70" w:type="dxa"/>
          <w:right w:w="70" w:type="dxa"/>
        </w:tblCellMar>
        <w:tblLook w:val="04A0"/>
      </w:tblPr>
      <w:tblGrid>
        <w:gridCol w:w="1912"/>
        <w:gridCol w:w="5645"/>
      </w:tblGrid>
      <w:tr w:rsidR="00E01693" w:rsidRPr="0031046B" w:rsidTr="009F27DB">
        <w:trPr>
          <w:trHeight w:val="1200"/>
          <w:jc w:val="center"/>
        </w:trPr>
        <w:tc>
          <w:tcPr>
            <w:tcW w:w="19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b/>
                <w:bCs/>
                <w:color w:val="000000"/>
                <w:sz w:val="21"/>
                <w:szCs w:val="21"/>
              </w:rPr>
            </w:pPr>
            <w:r w:rsidRPr="0031046B">
              <w:rPr>
                <w:rFonts w:ascii="Century Gothic" w:hAnsi="Century Gothic" w:cs="Arial"/>
                <w:b/>
                <w:bCs/>
                <w:color w:val="000000"/>
                <w:sz w:val="21"/>
                <w:szCs w:val="21"/>
              </w:rPr>
              <w:t>Jalisco.</w:t>
            </w:r>
          </w:p>
        </w:tc>
        <w:tc>
          <w:tcPr>
            <w:tcW w:w="5645" w:type="dxa"/>
            <w:tcBorders>
              <w:top w:val="single" w:sz="4" w:space="0" w:color="auto"/>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rPr>
                <w:rFonts w:ascii="Century Gothic" w:hAnsi="Century Gothic" w:cs="Arial"/>
                <w:b/>
                <w:bCs/>
                <w:color w:val="000000"/>
                <w:sz w:val="21"/>
                <w:szCs w:val="21"/>
              </w:rPr>
            </w:pPr>
            <w:r w:rsidRPr="0031046B">
              <w:rPr>
                <w:rFonts w:ascii="Century Gothic" w:hAnsi="Century Gothic" w:cs="Arial"/>
                <w:b/>
                <w:bCs/>
                <w:color w:val="000000"/>
                <w:sz w:val="21"/>
                <w:szCs w:val="21"/>
              </w:rPr>
              <w:t>Precios promedio mensuales de diésel, en estaciones de servicio de expendio al público.</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2018/01</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18.02</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2018/02</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18.78</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lastRenderedPageBreak/>
              <w:t>2018/03</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19.04</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2018/04</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19.12</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2018/05</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19.33</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2018/06</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19.62</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2018/07</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19.91</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2018/08</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20.34</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2018/09</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20.59</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2018/10</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20.87</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2018/11</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21.04</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2018/12</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20.94</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2019/01</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20.95</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2019/02</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21.77</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2019/03</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21.91</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2019/04</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21.76</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2019/05</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21.68</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2019/06</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21.48</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2019/07</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21.5</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2019/08</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21.43</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2019/09</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21.35</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2019/10</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21.3</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2019/11</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21.26</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2019/12</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21.34</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2020/01</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21.39</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2020/02</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21.24</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2020/03</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20.36</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2020/04</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19.18</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2020/05</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18.71</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2020/06</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19.16</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2020/07</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19.82</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2020/08</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19.87</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2020/09</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19.62</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2020/10</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19.3</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2020/11</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18.94</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2020/12</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19.21</w:t>
            </w:r>
          </w:p>
        </w:tc>
      </w:tr>
      <w:tr w:rsidR="00E01693" w:rsidRPr="0031046B" w:rsidTr="009F27DB">
        <w:trPr>
          <w:trHeight w:val="300"/>
          <w:jc w:val="center"/>
        </w:trPr>
        <w:tc>
          <w:tcPr>
            <w:tcW w:w="19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2021/01</w:t>
            </w:r>
          </w:p>
        </w:tc>
        <w:tc>
          <w:tcPr>
            <w:tcW w:w="5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19.87</w:t>
            </w:r>
          </w:p>
        </w:tc>
      </w:tr>
      <w:tr w:rsidR="00E01693" w:rsidRPr="0031046B" w:rsidTr="009F27DB">
        <w:trPr>
          <w:trHeight w:val="300"/>
          <w:jc w:val="center"/>
        </w:trPr>
        <w:tc>
          <w:tcPr>
            <w:tcW w:w="19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lastRenderedPageBreak/>
              <w:t>2021/02</w:t>
            </w:r>
          </w:p>
        </w:tc>
        <w:tc>
          <w:tcPr>
            <w:tcW w:w="5645" w:type="dxa"/>
            <w:tcBorders>
              <w:top w:val="single" w:sz="4" w:space="0" w:color="auto"/>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20.67</w:t>
            </w:r>
          </w:p>
        </w:tc>
      </w:tr>
      <w:tr w:rsidR="00E01693" w:rsidRPr="0031046B" w:rsidTr="009F27DB">
        <w:trPr>
          <w:trHeight w:val="300"/>
          <w:jc w:val="center"/>
        </w:trPr>
        <w:tc>
          <w:tcPr>
            <w:tcW w:w="19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2021/03</w:t>
            </w:r>
          </w:p>
        </w:tc>
        <w:tc>
          <w:tcPr>
            <w:tcW w:w="5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21.47</w:t>
            </w:r>
          </w:p>
        </w:tc>
      </w:tr>
      <w:tr w:rsidR="00E01693" w:rsidRPr="0031046B" w:rsidTr="009F27DB">
        <w:trPr>
          <w:trHeight w:val="300"/>
          <w:jc w:val="center"/>
        </w:trPr>
        <w:tc>
          <w:tcPr>
            <w:tcW w:w="19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2021/04</w:t>
            </w:r>
          </w:p>
        </w:tc>
        <w:tc>
          <w:tcPr>
            <w:tcW w:w="5645" w:type="dxa"/>
            <w:tcBorders>
              <w:top w:val="single" w:sz="4" w:space="0" w:color="auto"/>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21.63</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2021/05</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21.79</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2021/06</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21.82</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2021/07</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21.81</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2021/08</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21.83</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2021/09</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21.75</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2021/10</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21.71</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2021/11</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21.65</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2021/12</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21.89</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2022/01</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22.29</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2022/02</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22.5</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2022/03</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22.97</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2022/04</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23.38</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2022/05</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23.52</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2022/06</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23.58</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2022/07</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23.66</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2022/08</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23.76</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2022/09</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23.81</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2022/10</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23.88</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2022/11</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23.92</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2022/12</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23.86</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2023/01</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23.92</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2023/02</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23.87</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2023/03</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23.95</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2023/04</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23.98</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2023/05</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23.95</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2023/06</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23.99</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2023/07</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24.09</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2023/08</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24.31</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2023/09</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24.39</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2023/10</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24.45</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2023/11</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24.4</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2023/12</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24.37</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lastRenderedPageBreak/>
              <w:t>2024/01</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24.63</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2024/02</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25.14</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2024/03</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25.28</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2024/04</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25.48</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2024/05</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25.53</w:t>
            </w:r>
          </w:p>
        </w:tc>
      </w:tr>
      <w:tr w:rsidR="00E01693" w:rsidRPr="0031046B" w:rsidTr="009F27DB">
        <w:trPr>
          <w:trHeight w:val="300"/>
          <w:jc w:val="center"/>
        </w:trPr>
        <w:tc>
          <w:tcPr>
            <w:tcW w:w="19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2024/06</w:t>
            </w:r>
          </w:p>
        </w:tc>
        <w:tc>
          <w:tcPr>
            <w:tcW w:w="5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25.66</w:t>
            </w:r>
          </w:p>
        </w:tc>
      </w:tr>
      <w:tr w:rsidR="00E01693" w:rsidRPr="0031046B" w:rsidTr="009F27DB">
        <w:trPr>
          <w:trHeight w:val="300"/>
          <w:jc w:val="center"/>
        </w:trPr>
        <w:tc>
          <w:tcPr>
            <w:tcW w:w="19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2024/07</w:t>
            </w:r>
          </w:p>
        </w:tc>
        <w:tc>
          <w:tcPr>
            <w:tcW w:w="5645" w:type="dxa"/>
            <w:tcBorders>
              <w:top w:val="single" w:sz="4" w:space="0" w:color="auto"/>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26.04</w:t>
            </w:r>
          </w:p>
        </w:tc>
      </w:tr>
      <w:tr w:rsidR="00E01693" w:rsidRPr="0031046B" w:rsidTr="009F27DB">
        <w:trPr>
          <w:trHeight w:val="300"/>
          <w:jc w:val="center"/>
        </w:trPr>
        <w:tc>
          <w:tcPr>
            <w:tcW w:w="19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2024/08</w:t>
            </w:r>
          </w:p>
        </w:tc>
        <w:tc>
          <w:tcPr>
            <w:tcW w:w="5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26.06</w:t>
            </w:r>
          </w:p>
        </w:tc>
      </w:tr>
      <w:tr w:rsidR="00E01693" w:rsidRPr="0031046B" w:rsidTr="009F27DB">
        <w:trPr>
          <w:trHeight w:val="300"/>
          <w:jc w:val="center"/>
        </w:trPr>
        <w:tc>
          <w:tcPr>
            <w:tcW w:w="19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2024/09</w:t>
            </w:r>
          </w:p>
        </w:tc>
        <w:tc>
          <w:tcPr>
            <w:tcW w:w="5645" w:type="dxa"/>
            <w:tcBorders>
              <w:top w:val="single" w:sz="4" w:space="0" w:color="auto"/>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25.93</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2024/10</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25.73</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2024/11</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25.61</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2024/12</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25.65</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2025/01</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26.08</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2025/02</w:t>
            </w:r>
          </w:p>
        </w:tc>
        <w:tc>
          <w:tcPr>
            <w:tcW w:w="5645" w:type="dxa"/>
            <w:tcBorders>
              <w:top w:val="nil"/>
              <w:left w:val="nil"/>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26.19</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2025/03</w:t>
            </w:r>
          </w:p>
        </w:tc>
        <w:tc>
          <w:tcPr>
            <w:tcW w:w="5645" w:type="dxa"/>
            <w:tcBorders>
              <w:top w:val="nil"/>
              <w:left w:val="nil"/>
              <w:bottom w:val="single" w:sz="4" w:space="0" w:color="auto"/>
              <w:right w:val="single" w:sz="4" w:space="0" w:color="auto"/>
            </w:tcBorders>
            <w:shd w:val="clear" w:color="000000" w:fill="FFFFFF"/>
            <w:noWrap/>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26.09</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2025/04</w:t>
            </w:r>
          </w:p>
        </w:tc>
        <w:tc>
          <w:tcPr>
            <w:tcW w:w="5645" w:type="dxa"/>
            <w:tcBorders>
              <w:top w:val="nil"/>
              <w:left w:val="nil"/>
              <w:bottom w:val="single" w:sz="4" w:space="0" w:color="auto"/>
              <w:right w:val="single" w:sz="4" w:space="0" w:color="auto"/>
            </w:tcBorders>
            <w:shd w:val="clear" w:color="000000" w:fill="FFFFFF"/>
            <w:noWrap/>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26.06</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2025/05</w:t>
            </w:r>
          </w:p>
        </w:tc>
        <w:tc>
          <w:tcPr>
            <w:tcW w:w="5645" w:type="dxa"/>
            <w:tcBorders>
              <w:top w:val="nil"/>
              <w:left w:val="nil"/>
              <w:bottom w:val="single" w:sz="4" w:space="0" w:color="auto"/>
              <w:right w:val="single" w:sz="4" w:space="0" w:color="auto"/>
            </w:tcBorders>
            <w:shd w:val="clear" w:color="000000" w:fill="FFFFFF"/>
            <w:noWrap/>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25.97</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2025/06</w:t>
            </w:r>
          </w:p>
        </w:tc>
        <w:tc>
          <w:tcPr>
            <w:tcW w:w="5645" w:type="dxa"/>
            <w:tcBorders>
              <w:top w:val="nil"/>
              <w:left w:val="nil"/>
              <w:bottom w:val="single" w:sz="4" w:space="0" w:color="auto"/>
              <w:right w:val="single" w:sz="4" w:space="0" w:color="auto"/>
            </w:tcBorders>
            <w:shd w:val="clear" w:color="000000" w:fill="FFFFFF"/>
            <w:noWrap/>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26.01</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2025/07</w:t>
            </w:r>
          </w:p>
        </w:tc>
        <w:tc>
          <w:tcPr>
            <w:tcW w:w="5645" w:type="dxa"/>
            <w:tcBorders>
              <w:top w:val="nil"/>
              <w:left w:val="nil"/>
              <w:bottom w:val="single" w:sz="4" w:space="0" w:color="auto"/>
              <w:right w:val="single" w:sz="4" w:space="0" w:color="auto"/>
            </w:tcBorders>
            <w:shd w:val="clear" w:color="000000" w:fill="FFFFFF"/>
            <w:noWrap/>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26.21</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2025/08</w:t>
            </w:r>
          </w:p>
        </w:tc>
        <w:tc>
          <w:tcPr>
            <w:tcW w:w="5645" w:type="dxa"/>
            <w:tcBorders>
              <w:top w:val="nil"/>
              <w:left w:val="nil"/>
              <w:bottom w:val="single" w:sz="4" w:space="0" w:color="auto"/>
              <w:right w:val="single" w:sz="4" w:space="0" w:color="auto"/>
            </w:tcBorders>
            <w:shd w:val="clear" w:color="000000" w:fill="FFFFFF"/>
            <w:noWrap/>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26.2</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2025/09</w:t>
            </w:r>
          </w:p>
        </w:tc>
        <w:tc>
          <w:tcPr>
            <w:tcW w:w="5645" w:type="dxa"/>
            <w:tcBorders>
              <w:top w:val="nil"/>
              <w:left w:val="nil"/>
              <w:bottom w:val="single" w:sz="4" w:space="0" w:color="auto"/>
              <w:right w:val="single" w:sz="4" w:space="0" w:color="auto"/>
            </w:tcBorders>
            <w:shd w:val="clear" w:color="000000" w:fill="FFFFFF"/>
            <w:noWrap/>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26.26</w:t>
            </w:r>
          </w:p>
        </w:tc>
      </w:tr>
      <w:tr w:rsidR="00E01693" w:rsidRPr="0031046B" w:rsidTr="009F27DB">
        <w:trPr>
          <w:trHeight w:val="300"/>
          <w:jc w:val="center"/>
        </w:trPr>
        <w:tc>
          <w:tcPr>
            <w:tcW w:w="1912" w:type="dxa"/>
            <w:tcBorders>
              <w:top w:val="nil"/>
              <w:left w:val="single" w:sz="4" w:space="0" w:color="auto"/>
              <w:bottom w:val="single" w:sz="4" w:space="0" w:color="auto"/>
              <w:right w:val="single" w:sz="4" w:space="0" w:color="auto"/>
            </w:tcBorders>
            <w:shd w:val="clear" w:color="000000" w:fill="FFFFFF"/>
            <w:noWrap/>
            <w:vAlign w:val="bottom"/>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2025/10</w:t>
            </w:r>
          </w:p>
        </w:tc>
        <w:tc>
          <w:tcPr>
            <w:tcW w:w="5645" w:type="dxa"/>
            <w:tcBorders>
              <w:top w:val="nil"/>
              <w:left w:val="nil"/>
              <w:bottom w:val="single" w:sz="4" w:space="0" w:color="auto"/>
              <w:right w:val="single" w:sz="4" w:space="0" w:color="auto"/>
            </w:tcBorders>
            <w:shd w:val="clear" w:color="000000" w:fill="FFFFFF"/>
            <w:noWrap/>
            <w:vAlign w:val="center"/>
            <w:hideMark/>
          </w:tcPr>
          <w:p w:rsidR="00E01693" w:rsidRPr="0031046B" w:rsidRDefault="00E01693" w:rsidP="009F27DB">
            <w:pPr>
              <w:spacing w:after="0" w:line="240" w:lineRule="auto"/>
              <w:ind w:left="968"/>
              <w:jc w:val="center"/>
              <w:rPr>
                <w:rFonts w:ascii="Century Gothic" w:hAnsi="Century Gothic" w:cs="Arial"/>
                <w:color w:val="000000"/>
                <w:sz w:val="21"/>
                <w:szCs w:val="21"/>
              </w:rPr>
            </w:pPr>
            <w:r w:rsidRPr="0031046B">
              <w:rPr>
                <w:rFonts w:ascii="Century Gothic" w:hAnsi="Century Gothic" w:cs="Arial"/>
                <w:color w:val="000000"/>
                <w:sz w:val="21"/>
                <w:szCs w:val="21"/>
              </w:rPr>
              <w:t>26.3</w:t>
            </w:r>
          </w:p>
        </w:tc>
      </w:tr>
    </w:tbl>
    <w:p w:rsidR="00E01693" w:rsidRPr="0031046B" w:rsidRDefault="00E01693" w:rsidP="00E01693">
      <w:pPr>
        <w:jc w:val="center"/>
        <w:rPr>
          <w:rFonts w:ascii="Century Gothic" w:hAnsi="Century Gothic" w:cs="Arial"/>
          <w:sz w:val="21"/>
          <w:szCs w:val="21"/>
        </w:rPr>
      </w:pPr>
      <w:r w:rsidRPr="0031046B">
        <w:rPr>
          <w:rFonts w:ascii="Century Gothic" w:hAnsi="Century Gothic" w:cs="Arial"/>
          <w:sz w:val="21"/>
          <w:szCs w:val="21"/>
        </w:rPr>
        <w:t xml:space="preserve">Fuente: elaboración propia con base en información de la Comisión Reguladora de Energía. Disponible en: </w:t>
      </w:r>
    </w:p>
    <w:p w:rsidR="00E01693" w:rsidRPr="0031046B" w:rsidRDefault="00E01693" w:rsidP="00E01693">
      <w:pPr>
        <w:jc w:val="center"/>
        <w:rPr>
          <w:rFonts w:ascii="Century Gothic" w:hAnsi="Century Gothic" w:cs="Arial"/>
          <w:b/>
          <w:sz w:val="21"/>
          <w:szCs w:val="21"/>
        </w:rPr>
      </w:pPr>
      <w:r w:rsidRPr="0031046B">
        <w:rPr>
          <w:rFonts w:ascii="Century Gothic" w:hAnsi="Century Gothic" w:cs="Arial"/>
          <w:b/>
          <w:sz w:val="21"/>
          <w:szCs w:val="21"/>
        </w:rPr>
        <w:t>Fuente: Fuente:</w:t>
      </w:r>
      <w:hyperlink r:id="rId9" w:history="1">
        <w:r w:rsidRPr="0031046B">
          <w:rPr>
            <w:rStyle w:val="Hipervnculo"/>
            <w:rFonts w:ascii="Century Gothic" w:eastAsiaTheme="majorEastAsia" w:hAnsi="Century Gothic" w:cs="Arial"/>
            <w:b/>
            <w:sz w:val="21"/>
            <w:szCs w:val="21"/>
          </w:rPr>
          <w:t>https://www.gob.mx/cne/articulos/consulta-de-datos-abiertos</w:t>
        </w:r>
      </w:hyperlink>
      <w:r w:rsidRPr="0031046B">
        <w:rPr>
          <w:rFonts w:ascii="Century Gothic" w:hAnsi="Century Gothic" w:cs="Arial"/>
          <w:b/>
          <w:sz w:val="21"/>
          <w:szCs w:val="21"/>
        </w:rPr>
        <w:t>.</w:t>
      </w:r>
    </w:p>
    <w:p w:rsidR="00E01693" w:rsidRPr="0031046B" w:rsidRDefault="00E01693" w:rsidP="00E01693">
      <w:pPr>
        <w:jc w:val="both"/>
        <w:rPr>
          <w:rFonts w:ascii="Century Gothic" w:hAnsi="Century Gothic" w:cs="Arial"/>
          <w:sz w:val="21"/>
          <w:szCs w:val="21"/>
        </w:rPr>
      </w:pPr>
      <w:r w:rsidRPr="0031046B">
        <w:rPr>
          <w:rFonts w:ascii="Century Gothic" w:hAnsi="Century Gothic" w:cs="Arial"/>
          <w:sz w:val="21"/>
          <w:szCs w:val="21"/>
        </w:rPr>
        <w:t xml:space="preserve">Así mismo, para el concepto </w:t>
      </w:r>
      <w:r w:rsidRPr="0031046B">
        <w:rPr>
          <w:rFonts w:ascii="Century Gothic" w:hAnsi="Century Gothic" w:cs="Arial"/>
          <w:b/>
          <w:sz w:val="21"/>
          <w:szCs w:val="21"/>
        </w:rPr>
        <w:t>"Índices de Referencia de Precios de Gas Natural"</w:t>
      </w:r>
      <w:r w:rsidRPr="0031046B">
        <w:rPr>
          <w:rFonts w:ascii="Century Gothic" w:hAnsi="Century Gothic" w:cs="Arial"/>
          <w:sz w:val="21"/>
          <w:szCs w:val="21"/>
        </w:rPr>
        <w:t xml:space="preserve"> se consideran los datos proporcionados vía correo electrónico institucional por la Subsecretaría de Hidrocarburos de la Secretaría de Energía del Gobierno de México.</w:t>
      </w:r>
    </w:p>
    <w:p w:rsidR="00E01693" w:rsidRPr="0031046B" w:rsidRDefault="00E01693" w:rsidP="00E01693">
      <w:pPr>
        <w:jc w:val="both"/>
        <w:rPr>
          <w:rFonts w:ascii="Century Gothic" w:hAnsi="Century Gothic" w:cs="Arial"/>
          <w:sz w:val="21"/>
          <w:szCs w:val="21"/>
        </w:rPr>
      </w:pPr>
      <w:r w:rsidRPr="0031046B">
        <w:rPr>
          <w:rFonts w:ascii="Century Gothic" w:hAnsi="Century Gothic" w:cs="Arial"/>
          <w:sz w:val="21"/>
          <w:szCs w:val="21"/>
        </w:rPr>
        <w:t>La disposición de los datos corresponde de febrero del año 2018 al mes septiembre del año 2025; Los cuales se describen a continuación:</w:t>
      </w:r>
    </w:p>
    <w:p w:rsidR="00E01693" w:rsidRPr="0031046B" w:rsidRDefault="00E01693" w:rsidP="00E01693">
      <w:pPr>
        <w:jc w:val="center"/>
        <w:rPr>
          <w:rFonts w:ascii="Century Gothic" w:hAnsi="Century Gothic" w:cs="Arial"/>
          <w:sz w:val="21"/>
          <w:szCs w:val="21"/>
        </w:rPr>
      </w:pPr>
      <w:r w:rsidRPr="0031046B">
        <w:rPr>
          <w:rFonts w:ascii="Century Gothic" w:hAnsi="Century Gothic" w:cs="Arial"/>
          <w:sz w:val="21"/>
          <w:szCs w:val="21"/>
        </w:rPr>
        <w:t xml:space="preserve"> Índices de referencia de precios de gas natural.</w:t>
      </w:r>
    </w:p>
    <w:tbl>
      <w:tblPr>
        <w:tblW w:w="3338" w:type="dxa"/>
        <w:tblInd w:w="2747" w:type="dxa"/>
        <w:tblCellMar>
          <w:left w:w="70" w:type="dxa"/>
          <w:right w:w="70" w:type="dxa"/>
        </w:tblCellMar>
        <w:tblLook w:val="04A0"/>
      </w:tblPr>
      <w:tblGrid>
        <w:gridCol w:w="785"/>
        <w:gridCol w:w="1314"/>
        <w:gridCol w:w="1302"/>
      </w:tblGrid>
      <w:tr w:rsidR="00E01693" w:rsidRPr="0031046B" w:rsidTr="009F27DB">
        <w:trPr>
          <w:trHeight w:val="1230"/>
        </w:trPr>
        <w:tc>
          <w:tcPr>
            <w:tcW w:w="785" w:type="dxa"/>
            <w:tcBorders>
              <w:top w:val="single" w:sz="4" w:space="0" w:color="auto"/>
              <w:left w:val="single" w:sz="4" w:space="0" w:color="auto"/>
              <w:bottom w:val="single" w:sz="4" w:space="0" w:color="auto"/>
              <w:right w:val="single" w:sz="4" w:space="0" w:color="auto"/>
            </w:tcBorders>
            <w:vAlign w:val="center"/>
            <w:hideMark/>
          </w:tcPr>
          <w:p w:rsidR="00E01693" w:rsidRPr="0031046B" w:rsidRDefault="00E01693" w:rsidP="009F27DB">
            <w:pPr>
              <w:spacing w:after="0" w:line="240" w:lineRule="auto"/>
              <w:jc w:val="center"/>
              <w:rPr>
                <w:rFonts w:ascii="Century Gothic" w:hAnsi="Century Gothic" w:cs="Arial"/>
                <w:b/>
                <w:bCs/>
                <w:color w:val="000000"/>
                <w:sz w:val="21"/>
                <w:szCs w:val="21"/>
              </w:rPr>
            </w:pPr>
            <w:r w:rsidRPr="0031046B">
              <w:rPr>
                <w:rFonts w:ascii="Century Gothic" w:hAnsi="Century Gothic" w:cs="Arial"/>
                <w:b/>
                <w:bCs/>
                <w:color w:val="000000"/>
                <w:sz w:val="21"/>
                <w:szCs w:val="21"/>
              </w:rPr>
              <w:lastRenderedPageBreak/>
              <w:t>Año</w:t>
            </w:r>
          </w:p>
        </w:tc>
        <w:tc>
          <w:tcPr>
            <w:tcW w:w="1251" w:type="dxa"/>
            <w:tcBorders>
              <w:top w:val="single" w:sz="4" w:space="0" w:color="auto"/>
              <w:left w:val="nil"/>
              <w:bottom w:val="single" w:sz="4" w:space="0" w:color="auto"/>
              <w:right w:val="single" w:sz="4" w:space="0" w:color="auto"/>
            </w:tcBorders>
            <w:vAlign w:val="center"/>
            <w:hideMark/>
          </w:tcPr>
          <w:p w:rsidR="00E01693" w:rsidRPr="0031046B" w:rsidRDefault="00E01693" w:rsidP="009F27DB">
            <w:pPr>
              <w:spacing w:after="0" w:line="240" w:lineRule="auto"/>
              <w:jc w:val="center"/>
              <w:rPr>
                <w:rFonts w:ascii="Century Gothic" w:hAnsi="Century Gothic" w:cs="Arial"/>
                <w:b/>
                <w:bCs/>
                <w:color w:val="000000"/>
                <w:sz w:val="21"/>
                <w:szCs w:val="21"/>
              </w:rPr>
            </w:pPr>
            <w:r w:rsidRPr="0031046B">
              <w:rPr>
                <w:rFonts w:ascii="Century Gothic" w:hAnsi="Century Gothic" w:cs="Arial"/>
                <w:b/>
                <w:bCs/>
                <w:color w:val="000000"/>
                <w:sz w:val="21"/>
                <w:szCs w:val="21"/>
              </w:rPr>
              <w:t>Mes</w:t>
            </w:r>
          </w:p>
        </w:tc>
        <w:tc>
          <w:tcPr>
            <w:tcW w:w="1302" w:type="dxa"/>
            <w:tcBorders>
              <w:top w:val="single" w:sz="4" w:space="0" w:color="auto"/>
              <w:left w:val="nil"/>
              <w:bottom w:val="single" w:sz="4" w:space="0" w:color="auto"/>
              <w:right w:val="single" w:sz="4" w:space="0" w:color="auto"/>
            </w:tcBorders>
            <w:vAlign w:val="center"/>
            <w:hideMark/>
          </w:tcPr>
          <w:p w:rsidR="00E01693" w:rsidRPr="0031046B" w:rsidRDefault="00E01693" w:rsidP="009F27DB">
            <w:pPr>
              <w:spacing w:after="0" w:line="240" w:lineRule="auto"/>
              <w:jc w:val="center"/>
              <w:rPr>
                <w:rFonts w:ascii="Century Gothic" w:hAnsi="Century Gothic" w:cs="Arial"/>
                <w:b/>
                <w:bCs/>
                <w:color w:val="000000"/>
                <w:sz w:val="21"/>
                <w:szCs w:val="21"/>
              </w:rPr>
            </w:pPr>
            <w:r w:rsidRPr="0031046B">
              <w:rPr>
                <w:rFonts w:ascii="Century Gothic" w:hAnsi="Century Gothic" w:cs="Arial"/>
                <w:b/>
                <w:bCs/>
                <w:color w:val="000000"/>
                <w:sz w:val="21"/>
                <w:szCs w:val="21"/>
              </w:rPr>
              <w:t>Índice (MXN/GJ)</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Marzo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75.4006</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Febrero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91.6829</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Abril</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76.8621</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Mayo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80.9428</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Junio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86.7541</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Julio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79.161</w:t>
            </w:r>
          </w:p>
        </w:tc>
      </w:tr>
      <w:tr w:rsidR="00E01693" w:rsidRPr="0031046B" w:rsidTr="009F27DB">
        <w:trPr>
          <w:trHeight w:val="300"/>
        </w:trPr>
        <w:tc>
          <w:tcPr>
            <w:tcW w:w="785" w:type="dxa"/>
            <w:tcBorders>
              <w:top w:val="single" w:sz="4" w:space="0" w:color="auto"/>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w:t>
            </w:r>
          </w:p>
        </w:tc>
        <w:tc>
          <w:tcPr>
            <w:tcW w:w="1251" w:type="dxa"/>
            <w:tcBorders>
              <w:top w:val="single" w:sz="4" w:space="0" w:color="auto"/>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Agosto</w:t>
            </w:r>
          </w:p>
        </w:tc>
        <w:tc>
          <w:tcPr>
            <w:tcW w:w="1302" w:type="dxa"/>
            <w:tcBorders>
              <w:top w:val="single" w:sz="4" w:space="0" w:color="auto"/>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79.1806</w:t>
            </w:r>
          </w:p>
        </w:tc>
      </w:tr>
      <w:tr w:rsidR="00E01693" w:rsidRPr="0031046B" w:rsidTr="009F27DB">
        <w:trPr>
          <w:trHeight w:val="300"/>
        </w:trPr>
        <w:tc>
          <w:tcPr>
            <w:tcW w:w="785" w:type="dxa"/>
            <w:tcBorders>
              <w:top w:val="single" w:sz="4" w:space="0" w:color="auto"/>
              <w:left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w:t>
            </w:r>
          </w:p>
        </w:tc>
        <w:tc>
          <w:tcPr>
            <w:tcW w:w="1251" w:type="dxa"/>
            <w:tcBorders>
              <w:top w:val="single" w:sz="4" w:space="0" w:color="auto"/>
              <w:left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Septiembre</w:t>
            </w:r>
          </w:p>
        </w:tc>
        <w:tc>
          <w:tcPr>
            <w:tcW w:w="1302" w:type="dxa"/>
            <w:tcBorders>
              <w:top w:val="single" w:sz="4" w:space="0" w:color="auto"/>
              <w:left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86.3433</w:t>
            </w:r>
          </w:p>
        </w:tc>
      </w:tr>
      <w:tr w:rsidR="00E01693" w:rsidRPr="0031046B" w:rsidTr="009F27DB">
        <w:trPr>
          <w:trHeight w:val="300"/>
        </w:trPr>
        <w:tc>
          <w:tcPr>
            <w:tcW w:w="785" w:type="dxa"/>
            <w:tcBorders>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w:t>
            </w:r>
          </w:p>
        </w:tc>
        <w:tc>
          <w:tcPr>
            <w:tcW w:w="1251" w:type="dxa"/>
            <w:tcBorders>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Octubre</w:t>
            </w:r>
          </w:p>
        </w:tc>
        <w:tc>
          <w:tcPr>
            <w:tcW w:w="1302" w:type="dxa"/>
            <w:tcBorders>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105.7576</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Noviembre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98.1046</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Diciembre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115.7307</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Enero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85.8249</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Febrero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105.5852</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Marzo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79.4442</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Abril</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87.2764</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Mayo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80.2704</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Junio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74.4603</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Julio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69.531</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Agosto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64.6413</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Septiembre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67.519</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Octubre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68.5135</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Noviembre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80.8022</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Diciembre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71.7251</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Enero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71.2385</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Febrero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70.5615</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Marzo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69.7446</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Abril</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74.1793</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Mayo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73.263</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Junio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67.2658</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Julio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65.8824</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Agosto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71.3313</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lastRenderedPageBreak/>
              <w:t>2020</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Septiembre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79.9315</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Octubre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79.2717</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Noviembre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89.0517</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Diciembre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77.5554</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Enero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65.7436</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Febrero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245.5462</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Marzo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81.6414</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Abril</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75.192</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Mayo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79.8222</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Junio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48.9985</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Julio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94.1742</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Agosto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91.9033</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Septiembre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98.8074</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Octubre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113.5791</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Noviembre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120.2815</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Diciembre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68.9467</w:t>
            </w:r>
          </w:p>
        </w:tc>
      </w:tr>
      <w:tr w:rsidR="00E01693" w:rsidRPr="0031046B" w:rsidTr="009F27DB">
        <w:trPr>
          <w:trHeight w:val="300"/>
        </w:trPr>
        <w:tc>
          <w:tcPr>
            <w:tcW w:w="785" w:type="dxa"/>
            <w:tcBorders>
              <w:top w:val="single" w:sz="4" w:space="0" w:color="auto"/>
              <w:left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w:t>
            </w:r>
          </w:p>
        </w:tc>
        <w:tc>
          <w:tcPr>
            <w:tcW w:w="1251" w:type="dxa"/>
            <w:tcBorders>
              <w:top w:val="single" w:sz="4" w:space="0" w:color="auto"/>
              <w:left w:val="nil"/>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Enero</w:t>
            </w:r>
          </w:p>
        </w:tc>
        <w:tc>
          <w:tcPr>
            <w:tcW w:w="1302" w:type="dxa"/>
            <w:tcBorders>
              <w:top w:val="single" w:sz="4" w:space="0" w:color="auto"/>
              <w:left w:val="nil"/>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97.6871</w:t>
            </w:r>
          </w:p>
        </w:tc>
      </w:tr>
      <w:tr w:rsidR="00E01693" w:rsidRPr="0031046B" w:rsidTr="009F27DB">
        <w:trPr>
          <w:trHeight w:val="300"/>
        </w:trPr>
        <w:tc>
          <w:tcPr>
            <w:tcW w:w="785" w:type="dxa"/>
            <w:tcBorders>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w:t>
            </w:r>
          </w:p>
        </w:tc>
        <w:tc>
          <w:tcPr>
            <w:tcW w:w="1251" w:type="dxa"/>
            <w:tcBorders>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Febrero</w:t>
            </w:r>
          </w:p>
        </w:tc>
        <w:tc>
          <w:tcPr>
            <w:tcW w:w="1302" w:type="dxa"/>
            <w:tcBorders>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112.2231</w:t>
            </w:r>
          </w:p>
        </w:tc>
      </w:tr>
      <w:tr w:rsidR="00E01693" w:rsidRPr="0031046B" w:rsidTr="009F27DB">
        <w:trPr>
          <w:trHeight w:val="300"/>
        </w:trPr>
        <w:tc>
          <w:tcPr>
            <w:tcW w:w="785" w:type="dxa"/>
            <w:tcBorders>
              <w:top w:val="single" w:sz="4" w:space="0" w:color="auto"/>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w:t>
            </w:r>
          </w:p>
        </w:tc>
        <w:tc>
          <w:tcPr>
            <w:tcW w:w="1251" w:type="dxa"/>
            <w:tcBorders>
              <w:top w:val="single" w:sz="4" w:space="0" w:color="auto"/>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Marzo</w:t>
            </w:r>
          </w:p>
        </w:tc>
        <w:tc>
          <w:tcPr>
            <w:tcW w:w="1302" w:type="dxa"/>
            <w:tcBorders>
              <w:top w:val="single" w:sz="4" w:space="0" w:color="auto"/>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96.4783</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Abril</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120.2314</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Mayo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139.3081</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Junio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153.95</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Julio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145.2489</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Agosto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163.9571</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Septiembre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158.7825</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Octubre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103.9006</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Noviembre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96.4642</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Diciembre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102.7367</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Enero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74.0047</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Febrero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52.8105</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Marzo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46.1316</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Abril</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43.1948</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Mayo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56.4913</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Junio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60.7563</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Julio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76.4172</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lastRenderedPageBreak/>
              <w:t>2023</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Agosto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45.01</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Septiembre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45.3286</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Octubre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42.7224</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Noviembre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40.079</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Diciembre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47.7211</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Enero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59.6652</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Febrero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34.5974</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Marzo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21.4659</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Abril</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19.6496</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Mayo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14.6562</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Junio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23.485</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Julio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24.7706</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Agosto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19.5067</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Septiembre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18.991</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Octubre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23.0825</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Noviembre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36.1147</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Diciembre</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79.5659</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2025</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Enero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84.7248</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2025</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Febrero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68.8964</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2025</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Marzo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25.4317</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2025</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Abril</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34.6988</w:t>
            </w:r>
          </w:p>
        </w:tc>
      </w:tr>
      <w:tr w:rsidR="00E01693" w:rsidRPr="0031046B" w:rsidTr="009F27DB">
        <w:trPr>
          <w:trHeight w:val="300"/>
        </w:trPr>
        <w:tc>
          <w:tcPr>
            <w:tcW w:w="785" w:type="dxa"/>
            <w:tcBorders>
              <w:top w:val="nil"/>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2025</w:t>
            </w:r>
          </w:p>
        </w:tc>
        <w:tc>
          <w:tcPr>
            <w:tcW w:w="1251"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Mayo</w:t>
            </w:r>
          </w:p>
        </w:tc>
        <w:tc>
          <w:tcPr>
            <w:tcW w:w="1302"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30.5667</w:t>
            </w:r>
          </w:p>
        </w:tc>
      </w:tr>
      <w:tr w:rsidR="00E01693" w:rsidRPr="0031046B" w:rsidTr="009F27DB">
        <w:trPr>
          <w:trHeight w:val="300"/>
        </w:trPr>
        <w:tc>
          <w:tcPr>
            <w:tcW w:w="785" w:type="dxa"/>
            <w:tcBorders>
              <w:top w:val="single" w:sz="4" w:space="0" w:color="auto"/>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2025</w:t>
            </w:r>
          </w:p>
        </w:tc>
        <w:tc>
          <w:tcPr>
            <w:tcW w:w="1251" w:type="dxa"/>
            <w:tcBorders>
              <w:top w:val="single" w:sz="4" w:space="0" w:color="auto"/>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Junio</w:t>
            </w:r>
          </w:p>
        </w:tc>
        <w:tc>
          <w:tcPr>
            <w:tcW w:w="1302" w:type="dxa"/>
            <w:tcBorders>
              <w:top w:val="single" w:sz="4" w:space="0" w:color="auto"/>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37.2263</w:t>
            </w:r>
          </w:p>
        </w:tc>
      </w:tr>
      <w:tr w:rsidR="00E01693" w:rsidRPr="0031046B" w:rsidTr="009F27DB">
        <w:trPr>
          <w:trHeight w:val="300"/>
        </w:trPr>
        <w:tc>
          <w:tcPr>
            <w:tcW w:w="785" w:type="dxa"/>
            <w:tcBorders>
              <w:top w:val="single" w:sz="4" w:space="0" w:color="auto"/>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2025</w:t>
            </w:r>
          </w:p>
        </w:tc>
        <w:tc>
          <w:tcPr>
            <w:tcW w:w="1251" w:type="dxa"/>
            <w:tcBorders>
              <w:top w:val="single" w:sz="4" w:space="0" w:color="auto"/>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Julio</w:t>
            </w:r>
          </w:p>
        </w:tc>
        <w:tc>
          <w:tcPr>
            <w:tcW w:w="1302" w:type="dxa"/>
            <w:tcBorders>
              <w:top w:val="single" w:sz="4" w:space="0" w:color="auto"/>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37.4823</w:t>
            </w:r>
          </w:p>
        </w:tc>
      </w:tr>
      <w:tr w:rsidR="00E01693" w:rsidRPr="0031046B" w:rsidTr="009F27DB">
        <w:trPr>
          <w:trHeight w:val="300"/>
        </w:trPr>
        <w:tc>
          <w:tcPr>
            <w:tcW w:w="785" w:type="dxa"/>
            <w:tcBorders>
              <w:top w:val="single" w:sz="4" w:space="0" w:color="auto"/>
              <w:left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2025</w:t>
            </w:r>
          </w:p>
        </w:tc>
        <w:tc>
          <w:tcPr>
            <w:tcW w:w="1251" w:type="dxa"/>
            <w:tcBorders>
              <w:top w:val="single" w:sz="4" w:space="0" w:color="auto"/>
              <w:left w:val="nil"/>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Agosto</w:t>
            </w:r>
          </w:p>
        </w:tc>
        <w:tc>
          <w:tcPr>
            <w:tcW w:w="1302" w:type="dxa"/>
            <w:tcBorders>
              <w:top w:val="single" w:sz="4" w:space="0" w:color="auto"/>
              <w:left w:val="nil"/>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30.3646</w:t>
            </w:r>
          </w:p>
        </w:tc>
      </w:tr>
      <w:tr w:rsidR="00E01693" w:rsidRPr="0031046B" w:rsidTr="009F27DB">
        <w:trPr>
          <w:trHeight w:val="300"/>
        </w:trPr>
        <w:tc>
          <w:tcPr>
            <w:tcW w:w="785" w:type="dxa"/>
            <w:tcBorders>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2025</w:t>
            </w:r>
          </w:p>
        </w:tc>
        <w:tc>
          <w:tcPr>
            <w:tcW w:w="1251" w:type="dxa"/>
            <w:tcBorders>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Septiembre</w:t>
            </w:r>
          </w:p>
        </w:tc>
        <w:tc>
          <w:tcPr>
            <w:tcW w:w="1302" w:type="dxa"/>
            <w:tcBorders>
              <w:left w:val="nil"/>
              <w:bottom w:val="single" w:sz="4" w:space="0" w:color="auto"/>
              <w:right w:val="single" w:sz="4" w:space="0" w:color="auto"/>
            </w:tcBorders>
            <w:noWrap/>
            <w:vAlign w:val="bottom"/>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23.9954</w:t>
            </w:r>
          </w:p>
        </w:tc>
      </w:tr>
    </w:tbl>
    <w:p w:rsidR="00E01693" w:rsidRPr="0031046B" w:rsidRDefault="00E01693" w:rsidP="00E01693">
      <w:pPr>
        <w:jc w:val="center"/>
        <w:rPr>
          <w:rFonts w:ascii="Century Gothic" w:hAnsi="Century Gothic" w:cs="Arial"/>
          <w:sz w:val="21"/>
          <w:szCs w:val="21"/>
        </w:rPr>
      </w:pPr>
    </w:p>
    <w:p w:rsidR="00E01693" w:rsidRPr="0031046B" w:rsidRDefault="00E01693" w:rsidP="00E01693">
      <w:pPr>
        <w:jc w:val="center"/>
        <w:rPr>
          <w:rFonts w:ascii="Century Gothic" w:hAnsi="Century Gothic" w:cs="Arial"/>
          <w:sz w:val="21"/>
          <w:szCs w:val="21"/>
        </w:rPr>
      </w:pPr>
      <w:r w:rsidRPr="0031046B">
        <w:rPr>
          <w:rFonts w:ascii="Century Gothic" w:hAnsi="Century Gothic" w:cs="Arial"/>
          <w:sz w:val="21"/>
          <w:szCs w:val="21"/>
        </w:rPr>
        <w:t xml:space="preserve">Fuente: elaboración propia con base en información de la Comisión Reguladora de Energía. Disponible en: </w:t>
      </w:r>
    </w:p>
    <w:p w:rsidR="00E01693" w:rsidRPr="0031046B" w:rsidRDefault="00E01693" w:rsidP="00E01693">
      <w:pPr>
        <w:jc w:val="center"/>
        <w:rPr>
          <w:rFonts w:ascii="Century Gothic" w:hAnsi="Century Gothic" w:cs="Arial"/>
          <w:b/>
          <w:sz w:val="21"/>
          <w:szCs w:val="21"/>
        </w:rPr>
      </w:pPr>
      <w:r w:rsidRPr="0031046B">
        <w:rPr>
          <w:rFonts w:ascii="Century Gothic" w:hAnsi="Century Gothic" w:cs="Arial"/>
          <w:b/>
          <w:sz w:val="21"/>
          <w:szCs w:val="21"/>
        </w:rPr>
        <w:t>Fuente:</w:t>
      </w:r>
      <w:hyperlink r:id="rId10" w:history="1">
        <w:r w:rsidRPr="0031046B">
          <w:rPr>
            <w:rStyle w:val="Hipervnculo"/>
            <w:rFonts w:ascii="Century Gothic" w:eastAsiaTheme="majorEastAsia" w:hAnsi="Century Gothic" w:cs="Arial"/>
            <w:b/>
            <w:sz w:val="21"/>
            <w:szCs w:val="21"/>
          </w:rPr>
          <w:t>https://www.gob.mx/cne/articulos/consulta-de-datos-abiertos</w:t>
        </w:r>
      </w:hyperlink>
      <w:r w:rsidRPr="0031046B">
        <w:rPr>
          <w:rFonts w:ascii="Century Gothic" w:hAnsi="Century Gothic" w:cs="Arial"/>
          <w:b/>
          <w:sz w:val="21"/>
          <w:szCs w:val="21"/>
        </w:rPr>
        <w:t>.</w:t>
      </w:r>
    </w:p>
    <w:p w:rsidR="00E01693" w:rsidRPr="0031046B" w:rsidRDefault="00E01693" w:rsidP="00E01693">
      <w:pPr>
        <w:jc w:val="center"/>
        <w:rPr>
          <w:rFonts w:ascii="Century Gothic" w:hAnsi="Century Gothic" w:cs="Arial"/>
          <w:b/>
          <w:sz w:val="21"/>
          <w:szCs w:val="21"/>
        </w:rPr>
      </w:pPr>
      <w:hyperlink r:id="rId11" w:history="1">
        <w:r w:rsidRPr="0031046B">
          <w:rPr>
            <w:rStyle w:val="Hipervnculo"/>
            <w:rFonts w:ascii="Century Gothic" w:eastAsiaTheme="majorEastAsia" w:hAnsi="Century Gothic" w:cs="Arial"/>
            <w:b/>
            <w:sz w:val="21"/>
            <w:szCs w:val="21"/>
          </w:rPr>
          <w:t>https://www.cne.gob.mx/IPGN/</w:t>
        </w:r>
      </w:hyperlink>
    </w:p>
    <w:p w:rsidR="00E01693" w:rsidRPr="0031046B" w:rsidRDefault="00E01693" w:rsidP="00E01693">
      <w:pPr>
        <w:jc w:val="both"/>
        <w:rPr>
          <w:rFonts w:ascii="Century Gothic" w:hAnsi="Century Gothic" w:cs="Arial"/>
          <w:sz w:val="21"/>
          <w:szCs w:val="21"/>
        </w:rPr>
      </w:pPr>
      <w:r w:rsidRPr="0031046B">
        <w:rPr>
          <w:rFonts w:ascii="Century Gothic" w:hAnsi="Century Gothic" w:cs="Arial"/>
          <w:b/>
          <w:sz w:val="21"/>
          <w:szCs w:val="21"/>
        </w:rPr>
        <w:lastRenderedPageBreak/>
        <w:t>“Variación y Valor de los Costos de Operación”</w:t>
      </w:r>
      <w:r w:rsidRPr="0031046B">
        <w:rPr>
          <w:rFonts w:ascii="Century Gothic" w:hAnsi="Century Gothic" w:cs="Arial"/>
          <w:sz w:val="21"/>
          <w:szCs w:val="21"/>
        </w:rPr>
        <w:t>, se determina que, las diferentes variables a considerar del índice nacional de precios productor se agregan como referencia el que se muestra a continuación:</w:t>
      </w:r>
    </w:p>
    <w:p w:rsidR="00E01693" w:rsidRPr="0031046B" w:rsidRDefault="00E01693" w:rsidP="00E01693">
      <w:pPr>
        <w:jc w:val="center"/>
        <w:rPr>
          <w:rFonts w:ascii="Century Gothic" w:hAnsi="Century Gothic" w:cs="Arial"/>
          <w:b/>
          <w:sz w:val="21"/>
          <w:szCs w:val="21"/>
        </w:rPr>
      </w:pPr>
      <w:r w:rsidRPr="0031046B">
        <w:rPr>
          <w:rFonts w:ascii="Century Gothic" w:hAnsi="Century Gothic" w:cs="Arial"/>
          <w:b/>
          <w:sz w:val="21"/>
          <w:szCs w:val="21"/>
        </w:rPr>
        <w:t xml:space="preserve">Tabla 3. </w:t>
      </w:r>
      <w:r w:rsidRPr="0031046B">
        <w:rPr>
          <w:rFonts w:ascii="Century Gothic" w:hAnsi="Century Gothic" w:cs="Arial"/>
          <w:sz w:val="21"/>
          <w:szCs w:val="21"/>
        </w:rPr>
        <w:t>Índice nacional de precios productor</w:t>
      </w:r>
      <w:r w:rsidRPr="0031046B">
        <w:rPr>
          <w:rFonts w:ascii="Century Gothic" w:hAnsi="Century Gothic" w:cs="Arial"/>
          <w:b/>
          <w:sz w:val="21"/>
          <w:szCs w:val="21"/>
        </w:rPr>
        <w:t>.</w:t>
      </w:r>
    </w:p>
    <w:tbl>
      <w:tblPr>
        <w:tblW w:w="7650" w:type="dxa"/>
        <w:tblInd w:w="75" w:type="dxa"/>
        <w:tblCellMar>
          <w:left w:w="70" w:type="dxa"/>
          <w:right w:w="70" w:type="dxa"/>
        </w:tblCellMar>
        <w:tblLook w:val="04A0"/>
      </w:tblPr>
      <w:tblGrid>
        <w:gridCol w:w="1680"/>
        <w:gridCol w:w="2960"/>
        <w:gridCol w:w="3010"/>
      </w:tblGrid>
      <w:tr w:rsidR="00E01693" w:rsidRPr="0031046B" w:rsidTr="009F27DB">
        <w:trPr>
          <w:trHeight w:val="2100"/>
        </w:trPr>
        <w:tc>
          <w:tcPr>
            <w:tcW w:w="1680" w:type="dxa"/>
            <w:tcBorders>
              <w:top w:val="single" w:sz="4" w:space="0" w:color="auto"/>
              <w:left w:val="single" w:sz="4" w:space="0" w:color="auto"/>
              <w:bottom w:val="single" w:sz="4" w:space="0" w:color="auto"/>
              <w:right w:val="single" w:sz="4" w:space="0" w:color="auto"/>
            </w:tcBorders>
            <w:noWrap/>
            <w:vAlign w:val="center"/>
            <w:hideMark/>
          </w:tcPr>
          <w:p w:rsidR="00E01693" w:rsidRPr="0031046B" w:rsidRDefault="00E01693" w:rsidP="009F27DB">
            <w:pPr>
              <w:spacing w:after="0" w:line="240" w:lineRule="auto"/>
              <w:rPr>
                <w:rFonts w:ascii="Century Gothic" w:hAnsi="Century Gothic" w:cs="Arial"/>
                <w:b/>
                <w:bCs/>
                <w:sz w:val="21"/>
                <w:szCs w:val="21"/>
              </w:rPr>
            </w:pPr>
            <w:r w:rsidRPr="0031046B">
              <w:rPr>
                <w:rFonts w:ascii="Century Gothic" w:hAnsi="Century Gothic" w:cs="Arial"/>
                <w:b/>
                <w:bCs/>
                <w:sz w:val="21"/>
                <w:szCs w:val="21"/>
              </w:rPr>
              <w:t>Mes / Año</w:t>
            </w:r>
          </w:p>
        </w:tc>
        <w:tc>
          <w:tcPr>
            <w:tcW w:w="2960" w:type="dxa"/>
            <w:tcBorders>
              <w:top w:val="single" w:sz="4" w:space="0" w:color="auto"/>
              <w:left w:val="nil"/>
              <w:bottom w:val="single" w:sz="4" w:space="0" w:color="auto"/>
              <w:right w:val="single" w:sz="4" w:space="0" w:color="auto"/>
            </w:tcBorders>
            <w:vAlign w:val="center"/>
            <w:hideMark/>
          </w:tcPr>
          <w:p w:rsidR="00E01693" w:rsidRPr="0031046B" w:rsidRDefault="00E01693" w:rsidP="009F27DB">
            <w:pPr>
              <w:spacing w:after="0" w:line="240" w:lineRule="auto"/>
              <w:rPr>
                <w:rFonts w:ascii="Century Gothic" w:hAnsi="Century Gothic" w:cs="Arial"/>
                <w:b/>
                <w:bCs/>
                <w:sz w:val="21"/>
                <w:szCs w:val="21"/>
              </w:rPr>
            </w:pPr>
            <w:r w:rsidRPr="0031046B">
              <w:rPr>
                <w:rFonts w:ascii="Century Gothic" w:hAnsi="Century Gothic" w:cs="Arial"/>
                <w:b/>
                <w:bCs/>
                <w:sz w:val="21"/>
                <w:szCs w:val="21"/>
              </w:rPr>
              <w:t>Índice nacional de precios productor. Base julio 2019=100 (SCIAN 2013), Producción total, según actividad económica, INPP sin petróleo y con Servicios</w:t>
            </w:r>
          </w:p>
        </w:tc>
        <w:tc>
          <w:tcPr>
            <w:tcW w:w="3010" w:type="dxa"/>
            <w:tcBorders>
              <w:top w:val="single" w:sz="4" w:space="0" w:color="auto"/>
              <w:left w:val="nil"/>
              <w:bottom w:val="single" w:sz="4" w:space="0" w:color="auto"/>
              <w:right w:val="single" w:sz="4" w:space="0" w:color="auto"/>
            </w:tcBorders>
            <w:vAlign w:val="center"/>
            <w:hideMark/>
          </w:tcPr>
          <w:p w:rsidR="00E01693" w:rsidRPr="0031046B" w:rsidRDefault="00E01693" w:rsidP="009F27DB">
            <w:pPr>
              <w:spacing w:after="0" w:line="240" w:lineRule="auto"/>
              <w:rPr>
                <w:rFonts w:ascii="Century Gothic" w:hAnsi="Century Gothic" w:cs="Arial"/>
                <w:b/>
                <w:bCs/>
                <w:sz w:val="21"/>
                <w:szCs w:val="21"/>
              </w:rPr>
            </w:pPr>
            <w:r w:rsidRPr="0031046B">
              <w:rPr>
                <w:rFonts w:ascii="Century Gothic" w:hAnsi="Century Gothic" w:cs="Arial"/>
                <w:b/>
                <w:bCs/>
                <w:sz w:val="21"/>
                <w:szCs w:val="21"/>
              </w:rPr>
              <w:t>Índice nacional de precios productor. Base julio 2019=100 (SCIAN 2013), Producción total, según actividades económicas, Actividades terciarias,</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 xml:space="preserve"> 2012/01 </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75.0092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2012/02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74.9733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2012/03</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75.1851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2012/04</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75.2404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2012/05</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75.5299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2012/06</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75.9190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2012/07</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75.7640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2012/08</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75.7501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2012/09</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76.0331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2012/10</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76.0180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2012/11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76.2117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2012/12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76.1314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2013/01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76.2305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2013/02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76.5193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2013/03</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76.7053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2013/04</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76.5160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2013/05</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76.4677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2013/06</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76.7670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2013/07</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76.4996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2013/08</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76.4449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2013/09</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76.7914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2013/10</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76.8062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single" w:sz="4" w:space="0" w:color="auto"/>
              <w:left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2013/11</w:t>
            </w:r>
          </w:p>
        </w:tc>
        <w:tc>
          <w:tcPr>
            <w:tcW w:w="2960" w:type="dxa"/>
            <w:tcBorders>
              <w:top w:val="single" w:sz="4" w:space="0" w:color="auto"/>
              <w:left w:val="nil"/>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77.0431 </w:t>
            </w:r>
          </w:p>
        </w:tc>
        <w:tc>
          <w:tcPr>
            <w:tcW w:w="3010" w:type="dxa"/>
            <w:tcBorders>
              <w:top w:val="single" w:sz="4" w:space="0" w:color="auto"/>
              <w:left w:val="nil"/>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2013/12</w:t>
            </w:r>
          </w:p>
        </w:tc>
        <w:tc>
          <w:tcPr>
            <w:tcW w:w="2960" w:type="dxa"/>
            <w:tcBorders>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77.3730 </w:t>
            </w:r>
          </w:p>
        </w:tc>
        <w:tc>
          <w:tcPr>
            <w:tcW w:w="3010" w:type="dxa"/>
            <w:tcBorders>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2014/01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77.7878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2014/02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78.3294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2014/03</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78.3909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lastRenderedPageBreak/>
              <w:t>2014/04</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78.4289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2014/05</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78.6422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2014/06</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78.3250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2014/07</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78.6602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2014/08</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78.9663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2014/09</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79.0838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2014/10</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79.0229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2014/11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79.1313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2014/12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79.9572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2015/01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79.7776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2015/02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79.8429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2015/03</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80.4611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single" w:sz="4" w:space="0" w:color="auto"/>
              <w:left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2015/04</w:t>
            </w:r>
          </w:p>
        </w:tc>
        <w:tc>
          <w:tcPr>
            <w:tcW w:w="2960" w:type="dxa"/>
            <w:tcBorders>
              <w:top w:val="single" w:sz="4" w:space="0" w:color="auto"/>
              <w:left w:val="nil"/>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80.5965 </w:t>
            </w:r>
          </w:p>
        </w:tc>
        <w:tc>
          <w:tcPr>
            <w:tcW w:w="3010" w:type="dxa"/>
            <w:tcBorders>
              <w:top w:val="single" w:sz="4" w:space="0" w:color="auto"/>
              <w:left w:val="nil"/>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2015/05</w:t>
            </w:r>
          </w:p>
        </w:tc>
        <w:tc>
          <w:tcPr>
            <w:tcW w:w="2960" w:type="dxa"/>
            <w:tcBorders>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80.4862 </w:t>
            </w:r>
          </w:p>
        </w:tc>
        <w:tc>
          <w:tcPr>
            <w:tcW w:w="3010" w:type="dxa"/>
            <w:tcBorders>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2015/06</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80.8091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2015/07</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81.2662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2015/08</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81.5299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2015/09</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81.8290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2015/10</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81.7632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2015/11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81.8681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2015/12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82.1769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2016/01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82.8956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2016/02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83.6443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2016/03</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83.7033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2016/04</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83.9183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2016/05</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84.5293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2016/06</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85.3355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2016/07</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85.7374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2016/08</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86.0171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2016/09</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87.0671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2016/10</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87.2442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2016/11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88.3119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2016/12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89.1755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2017/01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91.0277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2017/02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91.5577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2017/03</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91.6101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2017/04</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91.2573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2017/05</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91.3744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2017/06</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91.0410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2017/07</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90.8118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2017/08</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90.8643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lastRenderedPageBreak/>
              <w:t>2017/09</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90.9883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2017/10</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91.8421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2017/11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92.8951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single" w:sz="4" w:space="0" w:color="auto"/>
              <w:left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2017/12</w:t>
            </w:r>
          </w:p>
        </w:tc>
        <w:tc>
          <w:tcPr>
            <w:tcW w:w="2960" w:type="dxa"/>
            <w:tcBorders>
              <w:top w:val="single" w:sz="4" w:space="0" w:color="auto"/>
              <w:left w:val="nil"/>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93.3236 </w:t>
            </w:r>
          </w:p>
        </w:tc>
        <w:tc>
          <w:tcPr>
            <w:tcW w:w="3010" w:type="dxa"/>
            <w:tcBorders>
              <w:top w:val="single" w:sz="4" w:space="0" w:color="auto"/>
              <w:left w:val="nil"/>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2018/01</w:t>
            </w:r>
          </w:p>
        </w:tc>
        <w:tc>
          <w:tcPr>
            <w:tcW w:w="2960" w:type="dxa"/>
            <w:tcBorders>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94.1083 </w:t>
            </w:r>
          </w:p>
        </w:tc>
        <w:tc>
          <w:tcPr>
            <w:tcW w:w="3010" w:type="dxa"/>
            <w:tcBorders>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2018/02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94.5282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2018/03</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94.9486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2018/04</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94.9092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2018/05</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96.3180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2018/06</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97.3683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2018/07</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96.7281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2018/08</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96.6647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2018/09</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97.2319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2018/10</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97.5918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2018/11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98.9430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2018/12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99.3129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2019/01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98.7822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2019/02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98.8032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2019/03</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98.9800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2019/04</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99.3002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2019/05</w:t>
            </w:r>
          </w:p>
        </w:tc>
        <w:tc>
          <w:tcPr>
            <w:tcW w:w="2960" w:type="dxa"/>
            <w:tcBorders>
              <w:top w:val="single" w:sz="4" w:space="0" w:color="auto"/>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99.3787 </w:t>
            </w:r>
          </w:p>
        </w:tc>
        <w:tc>
          <w:tcPr>
            <w:tcW w:w="3010" w:type="dxa"/>
            <w:tcBorders>
              <w:top w:val="single" w:sz="4" w:space="0" w:color="auto"/>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2019/06</w:t>
            </w:r>
          </w:p>
        </w:tc>
        <w:tc>
          <w:tcPr>
            <w:tcW w:w="2960" w:type="dxa"/>
            <w:tcBorders>
              <w:top w:val="single" w:sz="4" w:space="0" w:color="auto"/>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99.7864 </w:t>
            </w:r>
          </w:p>
        </w:tc>
        <w:tc>
          <w:tcPr>
            <w:tcW w:w="3010" w:type="dxa"/>
            <w:tcBorders>
              <w:top w:val="single" w:sz="4" w:space="0" w:color="auto"/>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2019/07</w:t>
            </w:r>
          </w:p>
        </w:tc>
        <w:tc>
          <w:tcPr>
            <w:tcW w:w="2960" w:type="dxa"/>
            <w:tcBorders>
              <w:top w:val="single" w:sz="4" w:space="0" w:color="auto"/>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100.0000 </w:t>
            </w:r>
          </w:p>
        </w:tc>
        <w:tc>
          <w:tcPr>
            <w:tcW w:w="3010" w:type="dxa"/>
            <w:tcBorders>
              <w:top w:val="single" w:sz="4" w:space="0" w:color="auto"/>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2019/08</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99.4473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2019/09</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99.9606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2019/10</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99.6960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2019/11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99.8723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2019/12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100.1490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2020/01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99.8714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2020/02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100.3275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2020/03</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102.6596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2020/04</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104.6689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2020/05</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104.1410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2020/06</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103.4948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2020/07</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104.4818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2020/08</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104.8540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2020/09</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104.4834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2020/10</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104.5445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2020/11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104.2861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2020/12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104.2933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2021/01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105.1179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lastRenderedPageBreak/>
              <w:t>2021/02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106.2271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2021/03</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107.6157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2021/04</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107.9756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2021/05</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108.7588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2021/06</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109.5337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2021/07</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110.0170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2021/08</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110.4020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2021/09</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110.7710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2021/10</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111.9294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2021/11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112.9965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2021/12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113.9968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2022/01</w:t>
            </w:r>
          </w:p>
        </w:tc>
        <w:tc>
          <w:tcPr>
            <w:tcW w:w="2960" w:type="dxa"/>
            <w:tcBorders>
              <w:top w:val="single" w:sz="4" w:space="0" w:color="auto"/>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114.3195 </w:t>
            </w:r>
          </w:p>
        </w:tc>
        <w:tc>
          <w:tcPr>
            <w:tcW w:w="3010" w:type="dxa"/>
            <w:tcBorders>
              <w:top w:val="single" w:sz="4" w:space="0" w:color="auto"/>
              <w:left w:val="single" w:sz="4" w:space="0" w:color="auto"/>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2022/02</w:t>
            </w:r>
          </w:p>
        </w:tc>
        <w:tc>
          <w:tcPr>
            <w:tcW w:w="2960" w:type="dxa"/>
            <w:tcBorders>
              <w:top w:val="single" w:sz="4" w:space="0" w:color="auto"/>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115.4664 </w:t>
            </w:r>
          </w:p>
        </w:tc>
        <w:tc>
          <w:tcPr>
            <w:tcW w:w="3010" w:type="dxa"/>
            <w:tcBorders>
              <w:top w:val="single" w:sz="4" w:space="0" w:color="auto"/>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2022/03</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116.8598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2022/04</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117.6543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2022/05</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118.4888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2022/06</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119.3153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2022/07</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119.9897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2022/08</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120.1189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2022/09</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120.0475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2022/10</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119.8722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2022/11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119.6696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2022/12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120.0618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2023/01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120.7740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2023/02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120.8191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2023/03</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121.2624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2023/04</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121.2466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2023/05</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120.9615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single" w:sz="4" w:space="0" w:color="auto"/>
              <w:left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2023/06</w:t>
            </w:r>
          </w:p>
        </w:tc>
        <w:tc>
          <w:tcPr>
            <w:tcW w:w="2960" w:type="dxa"/>
            <w:tcBorders>
              <w:top w:val="single" w:sz="4" w:space="0" w:color="auto"/>
              <w:left w:val="nil"/>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120.6602 </w:t>
            </w:r>
          </w:p>
        </w:tc>
        <w:tc>
          <w:tcPr>
            <w:tcW w:w="3010" w:type="dxa"/>
            <w:tcBorders>
              <w:top w:val="single" w:sz="4" w:space="0" w:color="auto"/>
              <w:left w:val="nil"/>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2023/07</w:t>
            </w:r>
          </w:p>
        </w:tc>
        <w:tc>
          <w:tcPr>
            <w:tcW w:w="2960" w:type="dxa"/>
            <w:tcBorders>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120.8406 </w:t>
            </w:r>
          </w:p>
        </w:tc>
        <w:tc>
          <w:tcPr>
            <w:tcW w:w="3010" w:type="dxa"/>
            <w:tcBorders>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2023/08</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121.1960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2023/09</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121.3408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2023/10</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121.7802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2023/11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121.7568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2023/12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121.7157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2024/01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122.2284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2024/02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122.6239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2024/03</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123.5712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2024/04</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124.2139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2024/05</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124.8606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2024/06</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126.4659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lastRenderedPageBreak/>
              <w:t>2024/07</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127.2773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2024/08</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127.2441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2024/09</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128.0198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2024/10</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128.5065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2024/11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129.7093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2024/12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130.7473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2025/01</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131.5396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2025/02</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132.3371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2025/03</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132.6441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2025/04</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133.0943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2025/05</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133.3577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2025/06</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133.0334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2025/07</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132.4349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2025/08</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132.0083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2025/09</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132.3371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r w:rsidR="00E01693" w:rsidRPr="0031046B" w:rsidTr="009F27DB">
        <w:trPr>
          <w:trHeight w:val="255"/>
        </w:trPr>
        <w:tc>
          <w:tcPr>
            <w:tcW w:w="1680" w:type="dxa"/>
            <w:tcBorders>
              <w:top w:val="nil"/>
              <w:left w:val="single" w:sz="4" w:space="0" w:color="auto"/>
              <w:bottom w:val="single" w:sz="4" w:space="0" w:color="auto"/>
              <w:right w:val="single" w:sz="4" w:space="0" w:color="auto"/>
            </w:tcBorders>
            <w:shd w:val="clear" w:color="000000" w:fill="FFFFFF"/>
            <w:vAlign w:val="center"/>
            <w:hideMark/>
          </w:tcPr>
          <w:p w:rsidR="00E01693" w:rsidRPr="0031046B" w:rsidRDefault="00E01693" w:rsidP="009F27DB">
            <w:pPr>
              <w:spacing w:after="0" w:line="240" w:lineRule="auto"/>
              <w:jc w:val="center"/>
              <w:rPr>
                <w:rFonts w:ascii="Century Gothic" w:hAnsi="Century Gothic" w:cs="Arial"/>
                <w:color w:val="000000"/>
                <w:sz w:val="21"/>
                <w:szCs w:val="21"/>
              </w:rPr>
            </w:pPr>
            <w:r w:rsidRPr="0031046B">
              <w:rPr>
                <w:rFonts w:ascii="Century Gothic" w:hAnsi="Century Gothic" w:cs="Arial"/>
                <w:color w:val="000000"/>
                <w:sz w:val="21"/>
                <w:szCs w:val="21"/>
              </w:rPr>
              <w:t>2025/10</w:t>
            </w:r>
          </w:p>
        </w:tc>
        <w:tc>
          <w:tcPr>
            <w:tcW w:w="296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xml:space="preserve">                                 132.8849 </w:t>
            </w:r>
          </w:p>
        </w:tc>
        <w:tc>
          <w:tcPr>
            <w:tcW w:w="3010" w:type="dxa"/>
            <w:tcBorders>
              <w:top w:val="nil"/>
              <w:left w:val="nil"/>
              <w:bottom w:val="single" w:sz="4" w:space="0" w:color="auto"/>
              <w:right w:val="single" w:sz="4" w:space="0" w:color="auto"/>
            </w:tcBorders>
            <w:noWrap/>
            <w:vAlign w:val="bottom"/>
            <w:hideMark/>
          </w:tcPr>
          <w:p w:rsidR="00E01693" w:rsidRPr="0031046B" w:rsidRDefault="00E01693" w:rsidP="009F27DB">
            <w:pPr>
              <w:spacing w:after="0" w:line="240" w:lineRule="auto"/>
              <w:rPr>
                <w:rFonts w:ascii="Century Gothic" w:hAnsi="Century Gothic" w:cs="Arial"/>
                <w:sz w:val="21"/>
                <w:szCs w:val="21"/>
              </w:rPr>
            </w:pPr>
            <w:r w:rsidRPr="0031046B">
              <w:rPr>
                <w:rFonts w:ascii="Century Gothic" w:hAnsi="Century Gothic" w:cs="Arial"/>
                <w:sz w:val="21"/>
                <w:szCs w:val="21"/>
              </w:rPr>
              <w:t> </w:t>
            </w:r>
          </w:p>
        </w:tc>
      </w:tr>
    </w:tbl>
    <w:p w:rsidR="00E01693" w:rsidRPr="0031046B" w:rsidRDefault="00E01693" w:rsidP="00E01693">
      <w:pPr>
        <w:jc w:val="center"/>
        <w:rPr>
          <w:rFonts w:ascii="Century Gothic" w:hAnsi="Century Gothic" w:cs="Arial"/>
          <w:b/>
          <w:sz w:val="21"/>
          <w:szCs w:val="21"/>
        </w:rPr>
      </w:pPr>
      <w:r w:rsidRPr="0031046B">
        <w:rPr>
          <w:rFonts w:ascii="Century Gothic" w:hAnsi="Century Gothic" w:cs="Arial"/>
          <w:b/>
          <w:sz w:val="21"/>
          <w:szCs w:val="21"/>
        </w:rPr>
        <w:t xml:space="preserve">Fuente: Elaboración propia con base en información del Instituto Nacional de Estadísticas y Geografía (INEGI). Disponible en: </w:t>
      </w:r>
      <w:hyperlink r:id="rId12" w:history="1">
        <w:r w:rsidRPr="0031046B">
          <w:rPr>
            <w:rStyle w:val="Hipervnculo"/>
            <w:rFonts w:ascii="Century Gothic" w:eastAsiaTheme="majorEastAsia" w:hAnsi="Century Gothic" w:cs="Arial"/>
            <w:b/>
            <w:sz w:val="21"/>
            <w:szCs w:val="21"/>
          </w:rPr>
          <w:t>https://www.inegi.org.mx/temas/inpp/</w:t>
        </w:r>
      </w:hyperlink>
    </w:p>
    <w:p w:rsidR="00E01693" w:rsidRPr="0031046B" w:rsidRDefault="00E01693" w:rsidP="00E01693">
      <w:pPr>
        <w:jc w:val="both"/>
        <w:rPr>
          <w:rFonts w:ascii="Century Gothic" w:hAnsi="Century Gothic" w:cs="Arial"/>
          <w:sz w:val="21"/>
          <w:szCs w:val="21"/>
        </w:rPr>
      </w:pPr>
      <w:r w:rsidRPr="0031046B">
        <w:rPr>
          <w:rFonts w:ascii="Century Gothic" w:hAnsi="Century Gothic" w:cs="Arial"/>
          <w:b/>
          <w:sz w:val="21"/>
          <w:szCs w:val="21"/>
        </w:rPr>
        <w:t xml:space="preserve">“Valor y Variación de los Costos de los Recursos Humanos” </w:t>
      </w:r>
      <w:r w:rsidRPr="0031046B">
        <w:rPr>
          <w:rFonts w:ascii="Century Gothic" w:hAnsi="Century Gothic" w:cs="Arial"/>
          <w:sz w:val="21"/>
          <w:szCs w:val="21"/>
        </w:rPr>
        <w:t>se consideran los datos concernientes a la Comisión Nacional de los Salarios Mínimos.</w:t>
      </w:r>
    </w:p>
    <w:p w:rsidR="00E01693" w:rsidRPr="0031046B" w:rsidRDefault="00E01693" w:rsidP="00E01693">
      <w:pPr>
        <w:jc w:val="center"/>
        <w:rPr>
          <w:rFonts w:ascii="Century Gothic" w:hAnsi="Century Gothic" w:cs="Arial"/>
          <w:b/>
          <w:sz w:val="21"/>
          <w:szCs w:val="21"/>
        </w:rPr>
      </w:pPr>
      <w:r w:rsidRPr="0031046B">
        <w:rPr>
          <w:rFonts w:ascii="Century Gothic" w:hAnsi="Century Gothic" w:cs="Arial"/>
          <w:b/>
          <w:sz w:val="21"/>
          <w:szCs w:val="21"/>
        </w:rPr>
        <w:t>Salarios mínimos</w:t>
      </w:r>
    </w:p>
    <w:tbl>
      <w:tblPr>
        <w:tblW w:w="546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10"/>
        <w:gridCol w:w="2007"/>
        <w:gridCol w:w="2246"/>
      </w:tblGrid>
      <w:tr w:rsidR="00E01693" w:rsidRPr="0031046B" w:rsidTr="009F27DB">
        <w:trPr>
          <w:tblHeader/>
          <w:tblCellSpacing w:w="15" w:type="dxa"/>
        </w:trPr>
        <w:tc>
          <w:tcPr>
            <w:tcW w:w="5" w:type="dxa"/>
            <w:vAlign w:val="center"/>
            <w:hideMark/>
          </w:tcPr>
          <w:p w:rsidR="00E01693" w:rsidRPr="0031046B" w:rsidRDefault="00E01693" w:rsidP="009F27DB">
            <w:pPr>
              <w:jc w:val="center"/>
              <w:rPr>
                <w:rFonts w:ascii="Century Gothic" w:hAnsi="Century Gothic" w:cs="Arial"/>
                <w:b/>
                <w:bCs/>
                <w:sz w:val="21"/>
                <w:szCs w:val="21"/>
              </w:rPr>
            </w:pPr>
            <w:r w:rsidRPr="0031046B">
              <w:rPr>
                <w:rFonts w:ascii="Century Gothic" w:hAnsi="Century Gothic" w:cs="Arial"/>
                <w:b/>
                <w:bCs/>
                <w:sz w:val="21"/>
                <w:szCs w:val="21"/>
              </w:rPr>
              <w:t>Fecha Inicio</w:t>
            </w:r>
          </w:p>
        </w:tc>
        <w:tc>
          <w:tcPr>
            <w:tcW w:w="2546" w:type="dxa"/>
            <w:vAlign w:val="center"/>
            <w:hideMark/>
          </w:tcPr>
          <w:p w:rsidR="00E01693" w:rsidRPr="0031046B" w:rsidRDefault="00E01693" w:rsidP="009F27DB">
            <w:pPr>
              <w:jc w:val="center"/>
              <w:rPr>
                <w:rFonts w:ascii="Century Gothic" w:hAnsi="Century Gothic" w:cs="Arial"/>
                <w:b/>
                <w:bCs/>
                <w:sz w:val="21"/>
                <w:szCs w:val="21"/>
              </w:rPr>
            </w:pPr>
            <w:r w:rsidRPr="0031046B">
              <w:rPr>
                <w:rFonts w:ascii="Century Gothic" w:hAnsi="Century Gothic" w:cs="Arial"/>
                <w:b/>
                <w:bCs/>
                <w:sz w:val="21"/>
                <w:szCs w:val="21"/>
              </w:rPr>
              <w:t>Zona</w:t>
            </w:r>
          </w:p>
        </w:tc>
        <w:tc>
          <w:tcPr>
            <w:tcW w:w="2792" w:type="dxa"/>
            <w:vAlign w:val="center"/>
            <w:hideMark/>
          </w:tcPr>
          <w:p w:rsidR="00E01693" w:rsidRPr="0031046B" w:rsidRDefault="00E01693" w:rsidP="009F27DB">
            <w:pPr>
              <w:jc w:val="center"/>
              <w:rPr>
                <w:rFonts w:ascii="Century Gothic" w:hAnsi="Century Gothic" w:cs="Arial"/>
                <w:b/>
                <w:bCs/>
                <w:sz w:val="21"/>
                <w:szCs w:val="21"/>
              </w:rPr>
            </w:pPr>
            <w:r w:rsidRPr="0031046B">
              <w:rPr>
                <w:rFonts w:ascii="Century Gothic" w:hAnsi="Century Gothic" w:cs="Arial"/>
                <w:b/>
                <w:bCs/>
                <w:sz w:val="21"/>
                <w:szCs w:val="21"/>
              </w:rPr>
              <w:t>Salario Mínimo (MXN diarios)</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01/01/2012</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a</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62.33</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01/01/2012</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b</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60.57</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01/01/2012</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c</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59.08</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27/11/2012</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a</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62.33</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27/11/2012</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b</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59.08</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01/01/2013</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a</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64.76</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lastRenderedPageBreak/>
              <w:t>01/01/2013</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b</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61.38</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01/01/2014</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a</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67.29</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01/01/2014</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b</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63.77</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01/01/2015</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a</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70.10</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01/01/2015</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b</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66.45</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01/04/2015</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a</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70.10</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01/04/2015</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b</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68.28</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01/10/2015</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única</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70.10</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01/01/2016</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única</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73.04</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01/01/2017</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única</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80.04</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01/12/2017</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única</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88.36</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01/01/2019</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resto del país</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102.68</w:t>
            </w:r>
          </w:p>
        </w:tc>
      </w:tr>
      <w:tr w:rsidR="00E01693" w:rsidRPr="0031046B" w:rsidTr="009F27DB">
        <w:trPr>
          <w:trHeight w:val="20"/>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01/01/2019</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zlfn</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176.72</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01/01/2020</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resto del país</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123.22</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01/01/2020</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zlfn</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185.56</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01/01/2021</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resto del país</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141.70</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01/01/2021</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zlfn</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213.39</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lastRenderedPageBreak/>
              <w:t>01/01/2022</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resto del país</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172.87</w:t>
            </w:r>
          </w:p>
        </w:tc>
      </w:tr>
      <w:tr w:rsidR="00E01693" w:rsidRPr="0031046B" w:rsidTr="009F27DB">
        <w:trPr>
          <w:trHeight w:val="20"/>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01/01/2022</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zlfn</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260.34</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01/01/2023</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resto del país</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207.44</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01/01/2023</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zlfn</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312.41</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01/01/2024</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resto del país</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248.93</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01/01/2024</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zlfn</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374.89</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01/01/2025</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resto del país</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278.80</w:t>
            </w:r>
          </w:p>
        </w:tc>
      </w:tr>
      <w:tr w:rsidR="00E01693" w:rsidRPr="0031046B" w:rsidTr="009F27DB">
        <w:trPr>
          <w:tblCellSpacing w:w="15" w:type="dxa"/>
        </w:trPr>
        <w:tc>
          <w:tcPr>
            <w:tcW w:w="5"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01/01/2025</w:t>
            </w:r>
          </w:p>
        </w:tc>
        <w:tc>
          <w:tcPr>
            <w:tcW w:w="2546"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zlfn</w:t>
            </w:r>
          </w:p>
        </w:tc>
        <w:tc>
          <w:tcPr>
            <w:tcW w:w="2792" w:type="dxa"/>
            <w:vAlign w:val="center"/>
            <w:hideMark/>
          </w:tcPr>
          <w:p w:rsidR="00E01693" w:rsidRPr="0031046B" w:rsidRDefault="00E01693" w:rsidP="009F27DB">
            <w:pPr>
              <w:jc w:val="center"/>
              <w:rPr>
                <w:rFonts w:ascii="Century Gothic" w:hAnsi="Century Gothic" w:cs="Arial"/>
                <w:sz w:val="21"/>
                <w:szCs w:val="21"/>
              </w:rPr>
            </w:pPr>
            <w:r w:rsidRPr="0031046B">
              <w:rPr>
                <w:rFonts w:ascii="Century Gothic" w:hAnsi="Century Gothic" w:cs="Arial"/>
                <w:sz w:val="21"/>
                <w:szCs w:val="21"/>
              </w:rPr>
              <w:t>419.88</w:t>
            </w:r>
          </w:p>
        </w:tc>
      </w:tr>
    </w:tbl>
    <w:p w:rsidR="00E01693" w:rsidRPr="0031046B" w:rsidRDefault="00E01693" w:rsidP="00E01693">
      <w:pPr>
        <w:jc w:val="center"/>
        <w:rPr>
          <w:rFonts w:ascii="Century Gothic" w:hAnsi="Century Gothic" w:cs="Arial"/>
          <w:b/>
          <w:sz w:val="21"/>
          <w:szCs w:val="21"/>
        </w:rPr>
      </w:pPr>
    </w:p>
    <w:p w:rsidR="00E01693" w:rsidRPr="0031046B" w:rsidRDefault="00E01693" w:rsidP="00E01693">
      <w:pPr>
        <w:jc w:val="center"/>
        <w:rPr>
          <w:rFonts w:ascii="Century Gothic" w:hAnsi="Century Gothic" w:cs="Arial"/>
          <w:b/>
          <w:sz w:val="21"/>
          <w:szCs w:val="21"/>
        </w:rPr>
      </w:pPr>
      <w:r w:rsidRPr="0031046B">
        <w:rPr>
          <w:rFonts w:ascii="Century Gothic" w:hAnsi="Century Gothic" w:cs="Arial"/>
          <w:b/>
          <w:sz w:val="21"/>
          <w:szCs w:val="21"/>
        </w:rPr>
        <w:t>Fuente: elaboración propia con base en información de la Comisión Nacional de los Salarios Mínimos (CONASAMI) en:</w:t>
      </w:r>
    </w:p>
    <w:p w:rsidR="00E01693" w:rsidRPr="0031046B" w:rsidRDefault="00E01693" w:rsidP="00E01693">
      <w:pPr>
        <w:jc w:val="center"/>
        <w:rPr>
          <w:rStyle w:val="Hipervnculo"/>
          <w:rFonts w:ascii="Century Gothic" w:eastAsiaTheme="majorEastAsia" w:hAnsi="Century Gothic" w:cs="Arial"/>
          <w:sz w:val="21"/>
          <w:szCs w:val="21"/>
        </w:rPr>
      </w:pPr>
      <w:r w:rsidRPr="0031046B">
        <w:rPr>
          <w:rFonts w:ascii="Century Gothic" w:hAnsi="Century Gothic" w:cs="Arial"/>
          <w:b/>
          <w:sz w:val="21"/>
          <w:szCs w:val="21"/>
        </w:rPr>
        <w:t xml:space="preserve">FUENTE: </w:t>
      </w:r>
      <w:hyperlink r:id="rId13" w:history="1">
        <w:r w:rsidRPr="0031046B">
          <w:rPr>
            <w:rStyle w:val="Hipervnculo"/>
            <w:rFonts w:ascii="Century Gothic" w:eastAsiaTheme="majorEastAsia" w:hAnsi="Century Gothic" w:cs="Arial"/>
            <w:sz w:val="21"/>
            <w:szCs w:val="21"/>
          </w:rPr>
          <w:t>https://www.gob.mx/conasami</w:t>
        </w:r>
      </w:hyperlink>
    </w:p>
    <w:p w:rsidR="00E01693" w:rsidRPr="0031046B" w:rsidRDefault="00E01693" w:rsidP="00E01693">
      <w:pPr>
        <w:spacing w:after="0" w:line="240" w:lineRule="auto"/>
        <w:jc w:val="both"/>
        <w:rPr>
          <w:rFonts w:ascii="Century Gothic" w:hAnsi="Century Gothic" w:cs="Arial"/>
          <w:color w:val="000000"/>
          <w:sz w:val="21"/>
          <w:szCs w:val="21"/>
        </w:rPr>
      </w:pPr>
      <w:r w:rsidRPr="0031046B">
        <w:rPr>
          <w:rFonts w:ascii="Century Gothic" w:hAnsi="Century Gothic" w:cs="Arial"/>
          <w:bCs/>
          <w:color w:val="000000"/>
          <w:sz w:val="21"/>
          <w:szCs w:val="21"/>
        </w:rPr>
        <w:t>En respuesta a lo solicitadose hace de conocimiento de</w:t>
      </w:r>
      <w:r w:rsidRPr="0031046B">
        <w:rPr>
          <w:rFonts w:ascii="Century Gothic" w:hAnsi="Century Gothic" w:cs="Arial"/>
          <w:color w:val="000000"/>
          <w:sz w:val="21"/>
          <w:szCs w:val="21"/>
        </w:rPr>
        <w:t xml:space="preserve"> cómo se calcula y cómo se define el planteamiento de este cálculo de indexación. El artículo 331, sobre el proceso de indexación que está en la Ley de Movilidad, dicta que para la modificación de tarifa en el servicio público, en todos sus modos, la Secretaría presentará la tarifa base en la cual se refiere a la ponderación de las diferentes tarifas aplicadas y su porcentaje de uso entre las diferentes personas usuarias de transporte público, en lo que se consideran los siguientes elementos.</w:t>
      </w:r>
    </w:p>
    <w:p w:rsidR="00E01693" w:rsidRPr="0031046B" w:rsidRDefault="00E01693" w:rsidP="00E01693">
      <w:pPr>
        <w:spacing w:after="0" w:line="240" w:lineRule="auto"/>
        <w:jc w:val="both"/>
        <w:rPr>
          <w:rFonts w:ascii="Century Gothic" w:hAnsi="Century Gothic" w:cs="Arial"/>
          <w:color w:val="000000"/>
          <w:sz w:val="21"/>
          <w:szCs w:val="21"/>
        </w:rPr>
      </w:pPr>
    </w:p>
    <w:p w:rsidR="00E01693" w:rsidRPr="0031046B" w:rsidRDefault="00E01693" w:rsidP="00E01693">
      <w:pPr>
        <w:spacing w:after="0" w:line="240" w:lineRule="auto"/>
        <w:ind w:left="567" w:right="333"/>
        <w:jc w:val="both"/>
        <w:rPr>
          <w:rFonts w:ascii="Century Gothic" w:hAnsi="Century Gothic"/>
          <w:b/>
          <w:bCs/>
          <w:sz w:val="21"/>
          <w:szCs w:val="21"/>
        </w:rPr>
      </w:pPr>
    </w:p>
    <w:p w:rsidR="00E01693" w:rsidRPr="0031046B" w:rsidRDefault="00E01693" w:rsidP="00E01693">
      <w:pPr>
        <w:spacing w:after="0" w:line="240" w:lineRule="auto"/>
        <w:ind w:left="567" w:right="333"/>
        <w:jc w:val="both"/>
        <w:rPr>
          <w:rFonts w:ascii="Century Gothic" w:hAnsi="Century Gothic"/>
          <w:b/>
          <w:bCs/>
          <w:sz w:val="21"/>
          <w:szCs w:val="21"/>
        </w:rPr>
      </w:pPr>
      <w:r w:rsidRPr="0031046B">
        <w:rPr>
          <w:rFonts w:ascii="Century Gothic" w:hAnsi="Century Gothic"/>
          <w:b/>
          <w:bCs/>
          <w:sz w:val="21"/>
          <w:szCs w:val="21"/>
        </w:rPr>
        <w:t>Ajuste tarifario. Fórmula de indexación</w:t>
      </w:r>
    </w:p>
    <w:p w:rsidR="00E01693" w:rsidRPr="0031046B" w:rsidRDefault="00E01693" w:rsidP="00E01693">
      <w:pPr>
        <w:spacing w:after="0" w:line="240" w:lineRule="auto"/>
        <w:ind w:left="567" w:right="333"/>
        <w:jc w:val="both"/>
        <w:rPr>
          <w:rFonts w:ascii="Century Gothic" w:hAnsi="Century Gothic"/>
          <w:sz w:val="21"/>
          <w:szCs w:val="21"/>
        </w:rPr>
      </w:pPr>
    </w:p>
    <w:p w:rsidR="00E01693" w:rsidRPr="0031046B" w:rsidRDefault="00E01693" w:rsidP="00E01693">
      <w:pPr>
        <w:spacing w:after="0" w:line="240" w:lineRule="auto"/>
        <w:ind w:left="567" w:right="333"/>
        <w:jc w:val="both"/>
        <w:rPr>
          <w:rFonts w:ascii="Century Gothic" w:hAnsi="Century Gothic"/>
          <w:sz w:val="21"/>
          <w:szCs w:val="21"/>
        </w:rPr>
      </w:pPr>
      <w:r w:rsidRPr="0031046B">
        <w:rPr>
          <w:rFonts w:ascii="Century Gothic" w:hAnsi="Century Gothic"/>
          <w:sz w:val="21"/>
          <w:szCs w:val="21"/>
        </w:rPr>
        <w:t>Donde:</w:t>
      </w:r>
    </w:p>
    <w:p w:rsidR="00E01693" w:rsidRPr="0031046B" w:rsidRDefault="00E01693" w:rsidP="00E01693">
      <w:pPr>
        <w:spacing w:after="0" w:line="240" w:lineRule="auto"/>
        <w:ind w:left="567" w:right="333"/>
        <w:jc w:val="both"/>
        <w:rPr>
          <w:rFonts w:ascii="Century Gothic" w:hAnsi="Century Gothic"/>
          <w:sz w:val="21"/>
          <w:szCs w:val="21"/>
        </w:rPr>
      </w:pPr>
      <m:oMathPara>
        <m:oMathParaPr>
          <m:jc m:val="centerGroup"/>
        </m:oMathParaPr>
        <m:oMath>
          <m:sSub>
            <m:sSubPr>
              <m:ctrlPr>
                <w:rPr>
                  <w:rFonts w:ascii="Cambria Math" w:hAnsi="Cambria Math"/>
                  <w:b/>
                  <w:bCs/>
                  <w:i/>
                  <w:iCs/>
                  <w:sz w:val="21"/>
                  <w:szCs w:val="21"/>
                </w:rPr>
              </m:ctrlPr>
            </m:sSubPr>
            <m:e>
              <m:r>
                <m:rPr>
                  <m:sty m:val="bi"/>
                </m:rPr>
                <w:rPr>
                  <w:rFonts w:ascii="Cambria Math" w:hAnsi="Cambria Math"/>
                  <w:sz w:val="21"/>
                  <w:szCs w:val="21"/>
                </w:rPr>
                <m:t>% Indx</m:t>
              </m:r>
            </m:e>
            <m:sub>
              <m:r>
                <m:rPr>
                  <m:sty m:val="bi"/>
                </m:rPr>
                <w:rPr>
                  <w:rFonts w:ascii="Cambria Math" w:hAnsi="Cambria Math"/>
                  <w:sz w:val="21"/>
                  <w:szCs w:val="21"/>
                </w:rPr>
                <m:t>anual</m:t>
              </m:r>
            </m:sub>
          </m:sSub>
          <m:r>
            <m:rPr>
              <m:sty m:val="bi"/>
            </m:rPr>
            <w:rPr>
              <w:rFonts w:ascii="Cambria Math" w:hAnsi="Cambria Math"/>
              <w:sz w:val="21"/>
              <w:szCs w:val="21"/>
            </w:rPr>
            <m:t>=</m:t>
          </m:r>
          <m:d>
            <m:dPr>
              <m:ctrlPr>
                <w:rPr>
                  <w:rFonts w:ascii="Cambria Math" w:hAnsi="Cambria Math"/>
                  <w:b/>
                  <w:bCs/>
                  <w:i/>
                  <w:iCs/>
                  <w:sz w:val="21"/>
                  <w:szCs w:val="21"/>
                </w:rPr>
              </m:ctrlPr>
            </m:dPr>
            <m:e>
              <m:r>
                <m:rPr>
                  <m:sty m:val="bi"/>
                </m:rPr>
                <w:rPr>
                  <w:rFonts w:ascii="Cambria Math" w:hAnsi="Cambria Math"/>
                  <w:sz w:val="21"/>
                  <w:szCs w:val="21"/>
                </w:rPr>
                <m:t>PC*</m:t>
              </m:r>
              <m:sSub>
                <m:sSubPr>
                  <m:ctrlPr>
                    <w:rPr>
                      <w:rFonts w:ascii="Cambria Math" w:hAnsi="Cambria Math"/>
                      <w:b/>
                      <w:bCs/>
                      <w:i/>
                      <w:iCs/>
                      <w:sz w:val="21"/>
                      <w:szCs w:val="21"/>
                    </w:rPr>
                  </m:ctrlPr>
                </m:sSubPr>
                <m:e>
                  <m:r>
                    <m:rPr>
                      <m:sty m:val="bi"/>
                    </m:rPr>
                    <w:rPr>
                      <w:rFonts w:ascii="Cambria Math" w:hAnsi="Cambria Math"/>
                      <w:sz w:val="21"/>
                      <w:szCs w:val="21"/>
                    </w:rPr>
                    <m:t>∆VC</m:t>
                  </m:r>
                </m:e>
                <m:sub>
                  <m:r>
                    <m:rPr>
                      <m:sty m:val="bi"/>
                    </m:rPr>
                    <w:rPr>
                      <w:rFonts w:ascii="Cambria Math" w:hAnsi="Cambria Math"/>
                      <w:sz w:val="21"/>
                      <w:szCs w:val="21"/>
                    </w:rPr>
                    <m:t>t</m:t>
                  </m:r>
                </m:sub>
              </m:sSub>
            </m:e>
          </m:d>
          <m:r>
            <m:rPr>
              <m:sty m:val="bi"/>
            </m:rPr>
            <w:rPr>
              <w:rFonts w:ascii="Cambria Math" w:hAnsi="Cambria Math"/>
              <w:sz w:val="21"/>
              <w:szCs w:val="21"/>
            </w:rPr>
            <m:t>+</m:t>
          </m:r>
          <m:d>
            <m:dPr>
              <m:ctrlPr>
                <w:rPr>
                  <w:rFonts w:ascii="Cambria Math" w:hAnsi="Cambria Math"/>
                  <w:b/>
                  <w:bCs/>
                  <w:i/>
                  <w:iCs/>
                  <w:sz w:val="21"/>
                  <w:szCs w:val="21"/>
                </w:rPr>
              </m:ctrlPr>
            </m:dPr>
            <m:e>
              <m:r>
                <m:rPr>
                  <m:sty m:val="bi"/>
                </m:rPr>
                <w:rPr>
                  <w:rFonts w:ascii="Cambria Math" w:hAnsi="Cambria Math"/>
                  <w:sz w:val="21"/>
                  <w:szCs w:val="21"/>
                </w:rPr>
                <m:t>PCOV*</m:t>
              </m:r>
              <m:sSub>
                <m:sSubPr>
                  <m:ctrlPr>
                    <w:rPr>
                      <w:rFonts w:ascii="Cambria Math" w:hAnsi="Cambria Math"/>
                      <w:b/>
                      <w:bCs/>
                      <w:i/>
                      <w:iCs/>
                      <w:sz w:val="21"/>
                      <w:szCs w:val="21"/>
                    </w:rPr>
                  </m:ctrlPr>
                </m:sSubPr>
                <m:e>
                  <m:r>
                    <m:rPr>
                      <m:sty m:val="bi"/>
                    </m:rPr>
                    <w:rPr>
                      <w:rFonts w:ascii="Cambria Math" w:hAnsi="Cambria Math"/>
                      <w:sz w:val="21"/>
                      <w:szCs w:val="21"/>
                    </w:rPr>
                    <m:t>∆INPP</m:t>
                  </m:r>
                </m:e>
                <m:sub>
                  <m:r>
                    <m:rPr>
                      <m:sty m:val="bi"/>
                    </m:rPr>
                    <w:rPr>
                      <w:rFonts w:ascii="Cambria Math" w:hAnsi="Cambria Math"/>
                      <w:sz w:val="21"/>
                      <w:szCs w:val="21"/>
                    </w:rPr>
                    <m:t>t</m:t>
                  </m:r>
                </m:sub>
              </m:sSub>
            </m:e>
          </m:d>
          <m:r>
            <m:rPr>
              <m:sty m:val="bi"/>
            </m:rPr>
            <w:rPr>
              <w:rFonts w:ascii="Cambria Math" w:hAnsi="Cambria Math"/>
              <w:sz w:val="21"/>
              <w:szCs w:val="21"/>
            </w:rPr>
            <m:t>+(PRH* </m:t>
          </m:r>
          <m:sSub>
            <m:sSubPr>
              <m:ctrlPr>
                <w:rPr>
                  <w:rFonts w:ascii="Cambria Math" w:hAnsi="Cambria Math"/>
                  <w:b/>
                  <w:bCs/>
                  <w:i/>
                  <w:iCs/>
                  <w:sz w:val="21"/>
                  <w:szCs w:val="21"/>
                </w:rPr>
              </m:ctrlPr>
            </m:sSubPr>
            <m:e>
              <m:r>
                <m:rPr>
                  <m:sty m:val="bi"/>
                </m:rPr>
                <w:rPr>
                  <w:rFonts w:ascii="Cambria Math" w:hAnsi="Cambria Math"/>
                  <w:sz w:val="21"/>
                  <w:szCs w:val="21"/>
                </w:rPr>
                <m:t>∆SM</m:t>
              </m:r>
            </m:e>
            <m:sub>
              <m:r>
                <m:rPr>
                  <m:sty m:val="bi"/>
                </m:rPr>
                <w:rPr>
                  <w:rFonts w:ascii="Cambria Math" w:hAnsi="Cambria Math"/>
                  <w:sz w:val="21"/>
                  <w:szCs w:val="21"/>
                </w:rPr>
                <m:t>t</m:t>
              </m:r>
            </m:sub>
          </m:sSub>
          <m:r>
            <m:rPr>
              <m:sty m:val="bi"/>
            </m:rPr>
            <w:rPr>
              <w:rFonts w:ascii="Cambria Math" w:hAnsi="Cambria Math"/>
              <w:sz w:val="21"/>
              <w:szCs w:val="21"/>
            </w:rPr>
            <m:t>)</m:t>
          </m:r>
        </m:oMath>
      </m:oMathPara>
    </w:p>
    <w:p w:rsidR="00E01693" w:rsidRPr="0031046B" w:rsidRDefault="00E01693" w:rsidP="00E01693">
      <w:pPr>
        <w:spacing w:after="0" w:line="240" w:lineRule="auto"/>
        <w:ind w:left="567" w:right="333"/>
        <w:jc w:val="both"/>
        <w:rPr>
          <w:rFonts w:ascii="Century Gothic" w:hAnsi="Century Gothic"/>
          <w:sz w:val="21"/>
          <w:szCs w:val="21"/>
        </w:rPr>
      </w:pPr>
      <w:r w:rsidRPr="0031046B">
        <w:rPr>
          <w:rFonts w:ascii="Century Gothic" w:hAnsi="Century Gothic"/>
          <w:sz w:val="21"/>
          <w:szCs w:val="21"/>
        </w:rPr>
        <w:t> </w:t>
      </w:r>
    </w:p>
    <w:p w:rsidR="00E01693" w:rsidRPr="0031046B" w:rsidRDefault="00E01693" w:rsidP="00E01693">
      <w:pPr>
        <w:spacing w:after="0" w:line="240" w:lineRule="auto"/>
        <w:ind w:left="567" w:right="333"/>
        <w:jc w:val="both"/>
        <w:rPr>
          <w:rFonts w:ascii="Century Gothic" w:hAnsi="Century Gothic"/>
          <w:sz w:val="21"/>
          <w:szCs w:val="21"/>
        </w:rPr>
      </w:pPr>
      <m:oMath>
        <m:sSub>
          <m:sSubPr>
            <m:ctrlPr>
              <w:rPr>
                <w:rFonts w:ascii="Cambria Math" w:hAnsi="Cambria Math"/>
                <w:i/>
                <w:iCs/>
                <w:sz w:val="21"/>
                <w:szCs w:val="21"/>
              </w:rPr>
            </m:ctrlPr>
          </m:sSubPr>
          <m:e>
            <m:r>
              <w:rPr>
                <w:rFonts w:ascii="Cambria Math" w:hAnsi="Cambria Math"/>
                <w:sz w:val="21"/>
                <w:szCs w:val="21"/>
              </w:rPr>
              <m:t>% Indx</m:t>
            </m:r>
          </m:e>
          <m:sub>
            <m:r>
              <w:rPr>
                <w:rFonts w:ascii="Cambria Math" w:hAnsi="Cambria Math"/>
                <w:sz w:val="21"/>
                <w:szCs w:val="21"/>
              </w:rPr>
              <m:t>anual</m:t>
            </m:r>
          </m:sub>
        </m:sSub>
        <m:r>
          <w:rPr>
            <w:rFonts w:ascii="Cambria Math" w:hAnsi="Cambria Math"/>
            <w:sz w:val="21"/>
            <w:szCs w:val="21"/>
          </w:rPr>
          <m:t> </m:t>
        </m:r>
      </m:oMath>
      <w:r w:rsidRPr="0031046B">
        <w:rPr>
          <w:rFonts w:ascii="Century Gothic" w:hAnsi="Century Gothic"/>
          <w:sz w:val="21"/>
          <w:szCs w:val="21"/>
        </w:rPr>
        <w:t>= Porcentaje de Indexación anual</w:t>
      </w:r>
    </w:p>
    <w:p w:rsidR="00E01693" w:rsidRPr="0031046B" w:rsidRDefault="00E01693" w:rsidP="00E01693">
      <w:pPr>
        <w:spacing w:after="0" w:line="240" w:lineRule="auto"/>
        <w:ind w:left="567" w:right="333"/>
        <w:jc w:val="both"/>
        <w:rPr>
          <w:rFonts w:ascii="Century Gothic" w:hAnsi="Century Gothic"/>
          <w:sz w:val="21"/>
          <w:szCs w:val="21"/>
        </w:rPr>
      </w:pPr>
      <w:r w:rsidRPr="0031046B">
        <w:rPr>
          <w:rFonts w:ascii="Century Gothic" w:hAnsi="Century Gothic"/>
          <w:sz w:val="21"/>
          <w:szCs w:val="21"/>
        </w:rPr>
        <w:lastRenderedPageBreak/>
        <w:br/>
        <w:t xml:space="preserve">PC= Ponderación de los </w:t>
      </w:r>
      <w:r w:rsidRPr="0031046B">
        <w:rPr>
          <w:rFonts w:ascii="Century Gothic" w:hAnsi="Century Gothic"/>
          <w:b/>
          <w:bCs/>
          <w:sz w:val="21"/>
          <w:szCs w:val="21"/>
        </w:rPr>
        <w:t xml:space="preserve">costos de los combustibles </w:t>
      </w:r>
      <w:r w:rsidRPr="0031046B">
        <w:rPr>
          <w:rFonts w:ascii="Century Gothic" w:hAnsi="Century Gothic"/>
          <w:sz w:val="21"/>
          <w:szCs w:val="21"/>
        </w:rPr>
        <w:t>del total de costos del transporte</w:t>
      </w:r>
    </w:p>
    <w:p w:rsidR="00E01693" w:rsidRPr="0031046B" w:rsidRDefault="00E01693" w:rsidP="00E01693">
      <w:pPr>
        <w:spacing w:after="0" w:line="240" w:lineRule="auto"/>
        <w:ind w:left="567" w:right="333"/>
        <w:jc w:val="both"/>
        <w:rPr>
          <w:rFonts w:ascii="Century Gothic" w:hAnsi="Century Gothic"/>
          <w:sz w:val="21"/>
          <w:szCs w:val="21"/>
        </w:rPr>
      </w:pPr>
    </w:p>
    <w:p w:rsidR="00E01693" w:rsidRPr="0031046B" w:rsidRDefault="00E01693" w:rsidP="00E01693">
      <w:pPr>
        <w:spacing w:after="0" w:line="240" w:lineRule="auto"/>
        <w:ind w:left="567" w:right="333"/>
        <w:jc w:val="both"/>
        <w:rPr>
          <w:rFonts w:ascii="Century Gothic" w:hAnsi="Century Gothic"/>
          <w:i/>
          <w:iCs/>
          <w:sz w:val="21"/>
          <w:szCs w:val="21"/>
        </w:rPr>
      </w:pPr>
      <m:oMath>
        <m:sSub>
          <m:sSubPr>
            <m:ctrlPr>
              <w:rPr>
                <w:rFonts w:ascii="Cambria Math" w:hAnsi="Cambria Math"/>
                <w:i/>
                <w:iCs/>
                <w:sz w:val="21"/>
                <w:szCs w:val="21"/>
              </w:rPr>
            </m:ctrlPr>
          </m:sSubPr>
          <m:e>
            <m:r>
              <w:rPr>
                <w:rFonts w:ascii="Cambria Math" w:hAnsi="Cambria Math"/>
                <w:sz w:val="21"/>
                <w:szCs w:val="21"/>
              </w:rPr>
              <m:t>∆VC</m:t>
            </m:r>
          </m:e>
          <m:sub>
            <m:r>
              <w:rPr>
                <w:rFonts w:ascii="Cambria Math" w:hAnsi="Cambria Math"/>
                <w:sz w:val="21"/>
                <w:szCs w:val="21"/>
              </w:rPr>
              <m:t>t</m:t>
            </m:r>
          </m:sub>
        </m:sSub>
      </m:oMath>
      <w:r w:rsidRPr="0031046B">
        <w:rPr>
          <w:rFonts w:ascii="Century Gothic" w:hAnsi="Century Gothic"/>
          <w:sz w:val="21"/>
          <w:szCs w:val="21"/>
        </w:rPr>
        <w:t xml:space="preserve">= Variación de los precios de los combustibles en un periodo de tiempo </w:t>
      </w:r>
      <w:r w:rsidRPr="0031046B">
        <w:rPr>
          <w:rFonts w:ascii="Century Gothic" w:hAnsi="Century Gothic"/>
          <w:i/>
          <w:iCs/>
          <w:sz w:val="21"/>
          <w:szCs w:val="21"/>
        </w:rPr>
        <w:t>t</w:t>
      </w:r>
    </w:p>
    <w:p w:rsidR="00E01693" w:rsidRPr="0031046B" w:rsidRDefault="00E01693" w:rsidP="00E01693">
      <w:pPr>
        <w:spacing w:after="0" w:line="240" w:lineRule="auto"/>
        <w:ind w:left="567" w:right="333"/>
        <w:jc w:val="both"/>
        <w:rPr>
          <w:rFonts w:ascii="Century Gothic" w:hAnsi="Century Gothic"/>
          <w:sz w:val="21"/>
          <w:szCs w:val="21"/>
        </w:rPr>
      </w:pPr>
    </w:p>
    <w:p w:rsidR="00E01693" w:rsidRPr="0031046B" w:rsidRDefault="00E01693" w:rsidP="00E01693">
      <w:pPr>
        <w:spacing w:after="0" w:line="240" w:lineRule="auto"/>
        <w:ind w:left="567" w:right="333"/>
        <w:jc w:val="both"/>
        <w:rPr>
          <w:rFonts w:ascii="Century Gothic" w:hAnsi="Century Gothic"/>
          <w:sz w:val="21"/>
          <w:szCs w:val="21"/>
        </w:rPr>
      </w:pPr>
      <w:r w:rsidRPr="0031046B">
        <w:rPr>
          <w:rFonts w:ascii="Century Gothic" w:hAnsi="Century Gothic"/>
          <w:sz w:val="21"/>
          <w:szCs w:val="21"/>
        </w:rPr>
        <w:t xml:space="preserve">PCOV= Ponderación de los </w:t>
      </w:r>
      <w:r w:rsidRPr="0031046B">
        <w:rPr>
          <w:rFonts w:ascii="Century Gothic" w:hAnsi="Century Gothic"/>
          <w:b/>
          <w:bCs/>
          <w:sz w:val="21"/>
          <w:szCs w:val="21"/>
        </w:rPr>
        <w:t xml:space="preserve">Costos de Operación Vehicular </w:t>
      </w:r>
      <w:r w:rsidRPr="0031046B">
        <w:rPr>
          <w:rFonts w:ascii="Century Gothic" w:hAnsi="Century Gothic"/>
          <w:sz w:val="21"/>
          <w:szCs w:val="21"/>
        </w:rPr>
        <w:t>(sin combustibles) del total de costos del transporte</w:t>
      </w:r>
    </w:p>
    <w:p w:rsidR="00E01693" w:rsidRPr="0031046B" w:rsidRDefault="00E01693" w:rsidP="00E01693">
      <w:pPr>
        <w:spacing w:after="0" w:line="240" w:lineRule="auto"/>
        <w:ind w:left="567" w:right="333"/>
        <w:jc w:val="both"/>
        <w:rPr>
          <w:rFonts w:ascii="Century Gothic" w:hAnsi="Century Gothic"/>
          <w:sz w:val="21"/>
          <w:szCs w:val="21"/>
        </w:rPr>
      </w:pPr>
    </w:p>
    <w:p w:rsidR="00E01693" w:rsidRPr="0031046B" w:rsidRDefault="00E01693" w:rsidP="00E01693">
      <w:pPr>
        <w:spacing w:after="0" w:line="240" w:lineRule="auto"/>
        <w:ind w:left="567" w:right="333"/>
        <w:jc w:val="both"/>
        <w:rPr>
          <w:rFonts w:ascii="Century Gothic" w:hAnsi="Century Gothic"/>
          <w:i/>
          <w:iCs/>
          <w:sz w:val="21"/>
          <w:szCs w:val="21"/>
        </w:rPr>
      </w:pPr>
      <m:oMath>
        <m:sSub>
          <m:sSubPr>
            <m:ctrlPr>
              <w:rPr>
                <w:rFonts w:ascii="Cambria Math" w:hAnsi="Cambria Math"/>
                <w:i/>
                <w:iCs/>
                <w:sz w:val="21"/>
                <w:szCs w:val="21"/>
              </w:rPr>
            </m:ctrlPr>
          </m:sSubPr>
          <m:e>
            <m:r>
              <w:rPr>
                <w:rFonts w:ascii="Cambria Math" w:hAnsi="Cambria Math"/>
                <w:sz w:val="21"/>
                <w:szCs w:val="21"/>
              </w:rPr>
              <m:t>∆INPP</m:t>
            </m:r>
          </m:e>
          <m:sub>
            <m:r>
              <w:rPr>
                <w:rFonts w:ascii="Cambria Math" w:hAnsi="Cambria Math"/>
                <w:sz w:val="21"/>
                <w:szCs w:val="21"/>
              </w:rPr>
              <m:t>t</m:t>
            </m:r>
          </m:sub>
        </m:sSub>
      </m:oMath>
      <w:r w:rsidRPr="0031046B">
        <w:rPr>
          <w:rFonts w:ascii="Century Gothic" w:hAnsi="Century Gothic"/>
          <w:sz w:val="21"/>
          <w:szCs w:val="21"/>
        </w:rPr>
        <w:t xml:space="preserve">= Variación del Índice Nacional de Precios Productor del Sector en un periodo de tiempo </w:t>
      </w:r>
      <w:r w:rsidRPr="0031046B">
        <w:rPr>
          <w:rFonts w:ascii="Century Gothic" w:hAnsi="Century Gothic"/>
          <w:i/>
          <w:iCs/>
          <w:sz w:val="21"/>
          <w:szCs w:val="21"/>
        </w:rPr>
        <w:t>t</w:t>
      </w:r>
    </w:p>
    <w:p w:rsidR="00E01693" w:rsidRPr="0031046B" w:rsidRDefault="00E01693" w:rsidP="00E01693">
      <w:pPr>
        <w:spacing w:after="0" w:line="240" w:lineRule="auto"/>
        <w:ind w:left="567" w:right="333"/>
        <w:jc w:val="both"/>
        <w:rPr>
          <w:rFonts w:ascii="Century Gothic" w:hAnsi="Century Gothic"/>
          <w:sz w:val="21"/>
          <w:szCs w:val="21"/>
        </w:rPr>
      </w:pPr>
    </w:p>
    <w:p w:rsidR="00E01693" w:rsidRPr="0031046B" w:rsidRDefault="00E01693" w:rsidP="00E01693">
      <w:pPr>
        <w:spacing w:after="0" w:line="240" w:lineRule="auto"/>
        <w:ind w:left="567" w:right="333"/>
        <w:jc w:val="both"/>
        <w:rPr>
          <w:rFonts w:ascii="Century Gothic" w:hAnsi="Century Gothic"/>
          <w:sz w:val="21"/>
          <w:szCs w:val="21"/>
        </w:rPr>
      </w:pPr>
      <w:r w:rsidRPr="0031046B">
        <w:rPr>
          <w:rFonts w:ascii="Century Gothic" w:hAnsi="Century Gothic"/>
          <w:sz w:val="21"/>
          <w:szCs w:val="21"/>
        </w:rPr>
        <w:t xml:space="preserve">PRH= Ponderación de los </w:t>
      </w:r>
      <w:r w:rsidRPr="0031046B">
        <w:rPr>
          <w:rFonts w:ascii="Century Gothic" w:hAnsi="Century Gothic"/>
          <w:b/>
          <w:bCs/>
          <w:sz w:val="21"/>
          <w:szCs w:val="21"/>
        </w:rPr>
        <w:t xml:space="preserve">costos de Recursos Humanos </w:t>
      </w:r>
      <w:r w:rsidRPr="0031046B">
        <w:rPr>
          <w:rFonts w:ascii="Century Gothic" w:hAnsi="Century Gothic"/>
          <w:sz w:val="21"/>
          <w:szCs w:val="21"/>
        </w:rPr>
        <w:t>del total de costos del transporte</w:t>
      </w:r>
    </w:p>
    <w:p w:rsidR="00E01693" w:rsidRPr="0031046B" w:rsidRDefault="00E01693" w:rsidP="00E01693">
      <w:pPr>
        <w:spacing w:after="0" w:line="240" w:lineRule="auto"/>
        <w:ind w:left="567" w:right="333"/>
        <w:jc w:val="both"/>
        <w:rPr>
          <w:rFonts w:ascii="Century Gothic" w:hAnsi="Century Gothic"/>
          <w:sz w:val="21"/>
          <w:szCs w:val="21"/>
        </w:rPr>
      </w:pPr>
    </w:p>
    <w:p w:rsidR="00E01693" w:rsidRPr="0031046B" w:rsidRDefault="00E01693" w:rsidP="00E01693">
      <w:pPr>
        <w:spacing w:after="0" w:line="240" w:lineRule="auto"/>
        <w:ind w:left="567" w:right="333"/>
        <w:jc w:val="both"/>
        <w:rPr>
          <w:rFonts w:ascii="Century Gothic" w:hAnsi="Century Gothic"/>
          <w:sz w:val="21"/>
          <w:szCs w:val="21"/>
        </w:rPr>
      </w:pPr>
    </w:p>
    <w:p w:rsidR="00E01693" w:rsidRPr="0031046B" w:rsidRDefault="00E01693" w:rsidP="00E01693">
      <w:pPr>
        <w:spacing w:after="0" w:line="240" w:lineRule="auto"/>
        <w:ind w:left="567" w:right="333"/>
        <w:jc w:val="both"/>
        <w:rPr>
          <w:rFonts w:ascii="Century Gothic" w:hAnsi="Century Gothic"/>
          <w:sz w:val="21"/>
          <w:szCs w:val="21"/>
        </w:rPr>
      </w:pPr>
      <m:oMath>
        <m:sSub>
          <m:sSubPr>
            <m:ctrlPr>
              <w:rPr>
                <w:rFonts w:ascii="Cambria Math" w:hAnsi="Cambria Math"/>
                <w:i/>
                <w:iCs/>
                <w:sz w:val="21"/>
                <w:szCs w:val="21"/>
              </w:rPr>
            </m:ctrlPr>
          </m:sSubPr>
          <m:e>
            <m:r>
              <w:rPr>
                <w:rFonts w:ascii="Cambria Math" w:hAnsi="Cambria Math"/>
                <w:sz w:val="21"/>
                <w:szCs w:val="21"/>
              </w:rPr>
              <m:t>∆SM</m:t>
            </m:r>
          </m:e>
          <m:sub>
            <m:r>
              <w:rPr>
                <w:rFonts w:ascii="Cambria Math" w:hAnsi="Cambria Math"/>
                <w:sz w:val="21"/>
                <w:szCs w:val="21"/>
              </w:rPr>
              <m:t>t</m:t>
            </m:r>
          </m:sub>
        </m:sSub>
      </m:oMath>
      <w:r w:rsidRPr="0031046B">
        <w:rPr>
          <w:rFonts w:ascii="Century Gothic" w:hAnsi="Century Gothic"/>
          <w:sz w:val="21"/>
          <w:szCs w:val="21"/>
        </w:rPr>
        <w:t xml:space="preserve">= Variación del Salario Mínimo de la región en un periodo de tiempo </w:t>
      </w:r>
      <w:r w:rsidRPr="0031046B">
        <w:rPr>
          <w:rFonts w:ascii="Century Gothic" w:hAnsi="Century Gothic"/>
          <w:i/>
          <w:iCs/>
          <w:sz w:val="21"/>
          <w:szCs w:val="21"/>
        </w:rPr>
        <w:t>t</w:t>
      </w:r>
      <w:r w:rsidRPr="0031046B">
        <w:rPr>
          <w:rFonts w:ascii="Century Gothic" w:hAnsi="Century Gothic"/>
          <w:sz w:val="21"/>
          <w:szCs w:val="21"/>
        </w:rPr>
        <w:t> </w:t>
      </w:r>
    </w:p>
    <w:p w:rsidR="00E01693" w:rsidRPr="0031046B" w:rsidRDefault="00E01693" w:rsidP="00E01693">
      <w:pPr>
        <w:spacing w:after="0" w:line="240" w:lineRule="auto"/>
        <w:ind w:left="567" w:right="333"/>
        <w:jc w:val="both"/>
        <w:rPr>
          <w:rFonts w:ascii="Century Gothic" w:hAnsi="Century Gothic"/>
          <w:sz w:val="21"/>
          <w:szCs w:val="21"/>
        </w:rPr>
      </w:pPr>
    </w:p>
    <w:p w:rsidR="00E01693" w:rsidRPr="0031046B" w:rsidRDefault="00E01693" w:rsidP="00E01693">
      <w:pPr>
        <w:spacing w:after="0" w:line="240" w:lineRule="auto"/>
        <w:ind w:left="567" w:right="333"/>
        <w:jc w:val="both"/>
        <w:rPr>
          <w:rFonts w:ascii="Century Gothic" w:hAnsi="Century Gothic"/>
          <w:iCs/>
          <w:sz w:val="21"/>
          <w:szCs w:val="21"/>
        </w:rPr>
      </w:pPr>
      <m:oMathPara>
        <m:oMathParaPr>
          <m:jc m:val="centerGroup"/>
        </m:oMathParaPr>
        <m:oMath>
          <m:sSub>
            <m:sSubPr>
              <m:ctrlPr>
                <w:rPr>
                  <w:rFonts w:ascii="Cambria Math" w:hAnsi="Cambria Math"/>
                  <w:i/>
                  <w:iCs/>
                  <w:sz w:val="21"/>
                  <w:szCs w:val="21"/>
                </w:rPr>
              </m:ctrlPr>
            </m:sSubPr>
            <m:e>
              <m:r>
                <w:rPr>
                  <w:rFonts w:ascii="Cambria Math" w:hAnsi="Cambria Math"/>
                  <w:sz w:val="21"/>
                  <w:szCs w:val="21"/>
                </w:rPr>
                <m:t>TPA</m:t>
              </m:r>
            </m:e>
            <m:sub>
              <m:r>
                <w:rPr>
                  <w:rFonts w:ascii="Cambria Math" w:hAnsi="Cambria Math"/>
                  <w:sz w:val="21"/>
                  <w:szCs w:val="21"/>
                </w:rPr>
                <m:t>Año 0-Año1</m:t>
              </m:r>
            </m:sub>
          </m:sSub>
          <m:r>
            <w:rPr>
              <w:rFonts w:ascii="Cambria Math" w:hAnsi="Cambria Math"/>
              <w:sz w:val="21"/>
              <w:szCs w:val="21"/>
            </w:rPr>
            <m:t>=</m:t>
          </m:r>
          <m:d>
            <m:dPr>
              <m:ctrlPr>
                <w:rPr>
                  <w:rFonts w:ascii="Cambria Math" w:hAnsi="Cambria Math"/>
                  <w:i/>
                  <w:iCs/>
                  <w:sz w:val="21"/>
                  <w:szCs w:val="21"/>
                </w:rPr>
              </m:ctrlPr>
            </m:dPr>
            <m:e>
              <m:sSub>
                <m:sSubPr>
                  <m:ctrlPr>
                    <w:rPr>
                      <w:rFonts w:ascii="Cambria Math" w:hAnsi="Cambria Math"/>
                      <w:i/>
                      <w:iCs/>
                      <w:sz w:val="21"/>
                      <w:szCs w:val="21"/>
                    </w:rPr>
                  </m:ctrlPr>
                </m:sSubPr>
                <m:e>
                  <m:r>
                    <w:rPr>
                      <w:rFonts w:ascii="Cambria Math" w:hAnsi="Cambria Math"/>
                      <w:sz w:val="21"/>
                      <w:szCs w:val="21"/>
                    </w:rPr>
                    <m:t>TPV</m:t>
                  </m:r>
                </m:e>
                <m:sub>
                  <m:r>
                    <w:rPr>
                      <w:rFonts w:ascii="Cambria Math" w:hAnsi="Cambria Math"/>
                      <w:sz w:val="21"/>
                      <w:szCs w:val="21"/>
                    </w:rPr>
                    <m:t>Año0</m:t>
                  </m:r>
                </m:sub>
              </m:sSub>
              <m:r>
                <w:rPr>
                  <w:rFonts w:ascii="Cambria Math" w:hAnsi="Cambria Math"/>
                  <w:sz w:val="21"/>
                  <w:szCs w:val="21"/>
                </w:rPr>
                <m:t>* </m:t>
              </m:r>
              <m:sSub>
                <m:sSubPr>
                  <m:ctrlPr>
                    <w:rPr>
                      <w:rFonts w:ascii="Cambria Math" w:hAnsi="Cambria Math"/>
                      <w:i/>
                      <w:iCs/>
                      <w:sz w:val="21"/>
                      <w:szCs w:val="21"/>
                    </w:rPr>
                  </m:ctrlPr>
                </m:sSubPr>
                <m:e>
                  <m:r>
                    <w:rPr>
                      <w:rFonts w:ascii="Cambria Math" w:hAnsi="Cambria Math"/>
                      <w:sz w:val="21"/>
                      <w:szCs w:val="21"/>
                    </w:rPr>
                    <m:t>% Indx</m:t>
                  </m:r>
                </m:e>
                <m:sub>
                  <m:r>
                    <w:rPr>
                      <w:rFonts w:ascii="Cambria Math" w:hAnsi="Cambria Math"/>
                      <w:sz w:val="21"/>
                      <w:szCs w:val="21"/>
                    </w:rPr>
                    <m:t>Anual</m:t>
                  </m:r>
                </m:sub>
              </m:sSub>
            </m:e>
          </m:d>
        </m:oMath>
      </m:oMathPara>
    </w:p>
    <w:p w:rsidR="00E01693" w:rsidRPr="0031046B" w:rsidRDefault="00E01693" w:rsidP="00E01693">
      <w:pPr>
        <w:spacing w:after="0" w:line="240" w:lineRule="auto"/>
        <w:ind w:left="567" w:right="333"/>
        <w:jc w:val="both"/>
        <w:rPr>
          <w:rFonts w:ascii="Century Gothic" w:hAnsi="Century Gothic"/>
          <w:sz w:val="21"/>
          <w:szCs w:val="21"/>
        </w:rPr>
      </w:pPr>
    </w:p>
    <w:p w:rsidR="00E01693" w:rsidRPr="0031046B" w:rsidRDefault="00E01693" w:rsidP="00E01693">
      <w:pPr>
        <w:spacing w:after="0" w:line="240" w:lineRule="auto"/>
        <w:ind w:left="567" w:right="333"/>
        <w:jc w:val="both"/>
        <w:rPr>
          <w:rFonts w:ascii="Century Gothic" w:hAnsi="Century Gothic"/>
          <w:sz w:val="21"/>
          <w:szCs w:val="21"/>
        </w:rPr>
      </w:pPr>
      <m:oMathPara>
        <m:oMathParaPr>
          <m:jc m:val="centerGroup"/>
        </m:oMathParaPr>
        <m:oMath>
          <m:sSub>
            <m:sSubPr>
              <m:ctrlPr>
                <w:rPr>
                  <w:rFonts w:ascii="Cambria Math" w:hAnsi="Cambria Math"/>
                  <w:i/>
                  <w:iCs/>
                  <w:sz w:val="21"/>
                  <w:szCs w:val="21"/>
                </w:rPr>
              </m:ctrlPr>
            </m:sSubPr>
            <m:e>
              <m:r>
                <w:rPr>
                  <w:rFonts w:ascii="Cambria Math" w:hAnsi="Cambria Math"/>
                  <w:sz w:val="21"/>
                  <w:szCs w:val="21"/>
                </w:rPr>
                <m:t>TPA</m:t>
              </m:r>
            </m:e>
            <m:sub>
              <m:r>
                <w:rPr>
                  <w:rFonts w:ascii="Cambria Math" w:hAnsi="Cambria Math"/>
                  <w:sz w:val="21"/>
                  <w:szCs w:val="21"/>
                </w:rPr>
                <m:t>Año1-Año2</m:t>
              </m:r>
            </m:sub>
          </m:sSub>
          <m:r>
            <w:rPr>
              <w:rFonts w:ascii="Cambria Math" w:hAnsi="Cambria Math"/>
              <w:sz w:val="21"/>
              <w:szCs w:val="21"/>
            </w:rPr>
            <m:t>=</m:t>
          </m:r>
          <m:d>
            <m:dPr>
              <m:ctrlPr>
                <w:rPr>
                  <w:rFonts w:ascii="Cambria Math" w:hAnsi="Cambria Math"/>
                  <w:i/>
                  <w:iCs/>
                  <w:sz w:val="21"/>
                  <w:szCs w:val="21"/>
                </w:rPr>
              </m:ctrlPr>
            </m:dPr>
            <m:e>
              <m:sSub>
                <m:sSubPr>
                  <m:ctrlPr>
                    <w:rPr>
                      <w:rFonts w:ascii="Cambria Math" w:hAnsi="Cambria Math"/>
                      <w:i/>
                      <w:iCs/>
                      <w:sz w:val="21"/>
                      <w:szCs w:val="21"/>
                    </w:rPr>
                  </m:ctrlPr>
                </m:sSubPr>
                <m:e>
                  <m:r>
                    <w:rPr>
                      <w:rFonts w:ascii="Cambria Math" w:hAnsi="Cambria Math"/>
                      <w:sz w:val="21"/>
                      <w:szCs w:val="21"/>
                    </w:rPr>
                    <m:t>TPV</m:t>
                  </m:r>
                </m:e>
                <m:sub>
                  <m:r>
                    <w:rPr>
                      <w:rFonts w:ascii="Cambria Math" w:hAnsi="Cambria Math"/>
                      <w:sz w:val="21"/>
                      <w:szCs w:val="21"/>
                    </w:rPr>
                    <m:t>Año1</m:t>
                  </m:r>
                </m:sub>
              </m:sSub>
              <m:r>
                <w:rPr>
                  <w:rFonts w:ascii="Cambria Math" w:hAnsi="Cambria Math"/>
                  <w:sz w:val="21"/>
                  <w:szCs w:val="21"/>
                </w:rPr>
                <m:t>* </m:t>
              </m:r>
              <m:sSub>
                <m:sSubPr>
                  <m:ctrlPr>
                    <w:rPr>
                      <w:rFonts w:ascii="Cambria Math" w:hAnsi="Cambria Math"/>
                      <w:i/>
                      <w:iCs/>
                      <w:sz w:val="21"/>
                      <w:szCs w:val="21"/>
                    </w:rPr>
                  </m:ctrlPr>
                </m:sSubPr>
                <m:e>
                  <m:r>
                    <w:rPr>
                      <w:rFonts w:ascii="Cambria Math" w:hAnsi="Cambria Math"/>
                      <w:sz w:val="21"/>
                      <w:szCs w:val="21"/>
                    </w:rPr>
                    <m:t>% Indx</m:t>
                  </m:r>
                </m:e>
                <m:sub>
                  <m:r>
                    <w:rPr>
                      <w:rFonts w:ascii="Cambria Math" w:hAnsi="Cambria Math"/>
                      <w:sz w:val="21"/>
                      <w:szCs w:val="21"/>
                    </w:rPr>
                    <m:t>Anual</m:t>
                  </m:r>
                </m:sub>
              </m:sSub>
            </m:e>
          </m:d>
        </m:oMath>
      </m:oMathPara>
    </w:p>
    <w:p w:rsidR="00E01693" w:rsidRPr="0031046B" w:rsidRDefault="00E01693" w:rsidP="00E01693">
      <w:pPr>
        <w:spacing w:after="0" w:line="240" w:lineRule="auto"/>
        <w:ind w:left="567" w:right="333"/>
        <w:jc w:val="both"/>
        <w:rPr>
          <w:rFonts w:ascii="Century Gothic" w:hAnsi="Century Gothic"/>
          <w:iCs/>
          <w:sz w:val="21"/>
          <w:szCs w:val="21"/>
        </w:rPr>
      </w:pPr>
    </w:p>
    <w:p w:rsidR="00E01693" w:rsidRPr="0031046B" w:rsidRDefault="00E01693" w:rsidP="00E01693">
      <w:pPr>
        <w:spacing w:after="0" w:line="240" w:lineRule="auto"/>
        <w:ind w:left="567" w:right="333"/>
        <w:jc w:val="both"/>
        <w:rPr>
          <w:rFonts w:ascii="Century Gothic" w:hAnsi="Century Gothic"/>
          <w:iCs/>
          <w:sz w:val="21"/>
          <w:szCs w:val="21"/>
        </w:rPr>
      </w:pPr>
      <m:oMathPara>
        <m:oMathParaPr>
          <m:jc m:val="centerGroup"/>
        </m:oMathParaPr>
        <m:oMath>
          <m:sSub>
            <m:sSubPr>
              <m:ctrlPr>
                <w:rPr>
                  <w:rFonts w:ascii="Cambria Math" w:hAnsi="Cambria Math"/>
                  <w:i/>
                  <w:iCs/>
                  <w:sz w:val="21"/>
                  <w:szCs w:val="21"/>
                </w:rPr>
              </m:ctrlPr>
            </m:sSubPr>
            <m:e>
              <m:r>
                <w:rPr>
                  <w:rFonts w:ascii="Cambria Math" w:hAnsi="Cambria Math"/>
                  <w:sz w:val="21"/>
                  <w:szCs w:val="21"/>
                </w:rPr>
                <m:t>TPA</m:t>
              </m:r>
            </m:e>
            <m:sub>
              <m:r>
                <w:rPr>
                  <w:rFonts w:ascii="Cambria Math" w:hAnsi="Cambria Math"/>
                  <w:sz w:val="21"/>
                  <w:szCs w:val="21"/>
                </w:rPr>
                <m:t>Año2-Añof</m:t>
              </m:r>
            </m:sub>
          </m:sSub>
          <m:r>
            <w:rPr>
              <w:rFonts w:ascii="Cambria Math" w:hAnsi="Cambria Math"/>
              <w:sz w:val="21"/>
              <w:szCs w:val="21"/>
            </w:rPr>
            <m:t>=</m:t>
          </m:r>
          <m:d>
            <m:dPr>
              <m:ctrlPr>
                <w:rPr>
                  <w:rFonts w:ascii="Cambria Math" w:hAnsi="Cambria Math"/>
                  <w:i/>
                  <w:iCs/>
                  <w:sz w:val="21"/>
                  <w:szCs w:val="21"/>
                </w:rPr>
              </m:ctrlPr>
            </m:dPr>
            <m:e>
              <m:sSub>
                <m:sSubPr>
                  <m:ctrlPr>
                    <w:rPr>
                      <w:rFonts w:ascii="Cambria Math" w:hAnsi="Cambria Math"/>
                      <w:i/>
                      <w:iCs/>
                      <w:sz w:val="21"/>
                      <w:szCs w:val="21"/>
                    </w:rPr>
                  </m:ctrlPr>
                </m:sSubPr>
                <m:e>
                  <m:r>
                    <w:rPr>
                      <w:rFonts w:ascii="Cambria Math" w:hAnsi="Cambria Math"/>
                      <w:sz w:val="21"/>
                      <w:szCs w:val="21"/>
                    </w:rPr>
                    <m:t>TPV</m:t>
                  </m:r>
                </m:e>
                <m:sub>
                  <m:r>
                    <w:rPr>
                      <w:rFonts w:ascii="Cambria Math" w:hAnsi="Cambria Math"/>
                      <w:sz w:val="21"/>
                      <w:szCs w:val="21"/>
                    </w:rPr>
                    <m:t>Año2</m:t>
                  </m:r>
                </m:sub>
              </m:sSub>
              <m:r>
                <w:rPr>
                  <w:rFonts w:ascii="Cambria Math" w:hAnsi="Cambria Math"/>
                  <w:sz w:val="21"/>
                  <w:szCs w:val="21"/>
                </w:rPr>
                <m:t>* </m:t>
              </m:r>
              <m:sSub>
                <m:sSubPr>
                  <m:ctrlPr>
                    <w:rPr>
                      <w:rFonts w:ascii="Cambria Math" w:hAnsi="Cambria Math"/>
                      <w:i/>
                      <w:iCs/>
                      <w:sz w:val="21"/>
                      <w:szCs w:val="21"/>
                    </w:rPr>
                  </m:ctrlPr>
                </m:sSubPr>
                <m:e>
                  <m:r>
                    <w:rPr>
                      <w:rFonts w:ascii="Cambria Math" w:hAnsi="Cambria Math"/>
                      <w:sz w:val="21"/>
                      <w:szCs w:val="21"/>
                    </w:rPr>
                    <m:t>% Indx</m:t>
                  </m:r>
                </m:e>
                <m:sub>
                  <m:r>
                    <w:rPr>
                      <w:rFonts w:ascii="Cambria Math" w:hAnsi="Cambria Math"/>
                      <w:sz w:val="21"/>
                      <w:szCs w:val="21"/>
                    </w:rPr>
                    <m:t>Anual</m:t>
                  </m:r>
                </m:sub>
              </m:sSub>
            </m:e>
          </m:d>
        </m:oMath>
      </m:oMathPara>
    </w:p>
    <w:p w:rsidR="00E01693" w:rsidRPr="0031046B" w:rsidRDefault="00E01693" w:rsidP="00E01693">
      <w:pPr>
        <w:spacing w:after="0" w:line="240" w:lineRule="auto"/>
        <w:ind w:left="567" w:right="333"/>
        <w:jc w:val="both"/>
        <w:rPr>
          <w:rFonts w:ascii="Century Gothic" w:hAnsi="Century Gothic"/>
          <w:sz w:val="21"/>
          <w:szCs w:val="21"/>
        </w:rPr>
      </w:pPr>
    </w:p>
    <w:p w:rsidR="00E01693" w:rsidRPr="0031046B" w:rsidRDefault="00E01693" w:rsidP="00E01693">
      <w:pPr>
        <w:spacing w:after="0" w:line="240" w:lineRule="auto"/>
        <w:ind w:left="567" w:right="333"/>
        <w:jc w:val="both"/>
        <w:rPr>
          <w:rFonts w:ascii="Century Gothic" w:hAnsi="Century Gothic"/>
          <w:sz w:val="21"/>
          <w:szCs w:val="21"/>
        </w:rPr>
      </w:pPr>
      <m:oMath>
        <m:sSub>
          <m:sSubPr>
            <m:ctrlPr>
              <w:rPr>
                <w:rFonts w:ascii="Cambria Math" w:hAnsi="Cambria Math"/>
                <w:i/>
                <w:iCs/>
                <w:sz w:val="21"/>
                <w:szCs w:val="21"/>
              </w:rPr>
            </m:ctrlPr>
          </m:sSubPr>
          <m:e>
            <m:r>
              <w:rPr>
                <w:rFonts w:ascii="Cambria Math" w:hAnsi="Cambria Math"/>
                <w:sz w:val="21"/>
                <w:szCs w:val="21"/>
              </w:rPr>
              <m:t>TPA</m:t>
            </m:r>
          </m:e>
          <m:sub>
            <m:r>
              <w:rPr>
                <w:rFonts w:ascii="Cambria Math" w:hAnsi="Cambria Math"/>
                <w:sz w:val="21"/>
                <w:szCs w:val="21"/>
              </w:rPr>
              <m:t>Año 0-Añof</m:t>
            </m:r>
          </m:sub>
        </m:sSub>
      </m:oMath>
      <w:r w:rsidRPr="0031046B">
        <w:rPr>
          <w:rFonts w:ascii="Century Gothic" w:hAnsi="Century Gothic"/>
          <w:sz w:val="21"/>
          <w:szCs w:val="21"/>
        </w:rPr>
        <w:t xml:space="preserve"> = </w:t>
      </w:r>
      <w:r w:rsidRPr="0031046B">
        <w:rPr>
          <w:rFonts w:ascii="Century Gothic" w:hAnsi="Century Gothic"/>
          <w:b/>
          <w:bCs/>
          <w:sz w:val="21"/>
          <w:szCs w:val="21"/>
        </w:rPr>
        <w:t xml:space="preserve">Tarifa Ponderada Actualizada </w:t>
      </w:r>
      <w:r w:rsidRPr="0031046B">
        <w:rPr>
          <w:rFonts w:ascii="Century Gothic" w:hAnsi="Century Gothic"/>
          <w:sz w:val="21"/>
          <w:szCs w:val="21"/>
        </w:rPr>
        <w:t xml:space="preserve">para un periodo de tiempo </w:t>
      </w:r>
      <w:r w:rsidRPr="0031046B">
        <w:rPr>
          <w:rFonts w:ascii="Century Gothic" w:hAnsi="Century Gothic"/>
          <w:i/>
          <w:iCs/>
          <w:sz w:val="21"/>
          <w:szCs w:val="21"/>
        </w:rPr>
        <w:t>t</w:t>
      </w:r>
      <w:r w:rsidRPr="0031046B">
        <w:rPr>
          <w:rFonts w:ascii="Century Gothic" w:hAnsi="Century Gothic"/>
          <w:sz w:val="21"/>
          <w:szCs w:val="21"/>
        </w:rPr>
        <w:t xml:space="preserve">, donde el </w:t>
      </w:r>
      <w:r w:rsidRPr="0031046B">
        <w:rPr>
          <w:rFonts w:ascii="Century Gothic" w:hAnsi="Century Gothic"/>
          <w:i/>
          <w:iCs/>
          <w:sz w:val="21"/>
          <w:szCs w:val="21"/>
        </w:rPr>
        <w:t>Año0</w:t>
      </w:r>
      <w:r w:rsidRPr="0031046B">
        <w:rPr>
          <w:rFonts w:ascii="Century Gothic" w:hAnsi="Century Gothic"/>
          <w:sz w:val="21"/>
          <w:szCs w:val="21"/>
        </w:rPr>
        <w:t xml:space="preserve"> es el año base de estudio, y </w:t>
      </w:r>
      <w:r w:rsidRPr="0031046B">
        <w:rPr>
          <w:rFonts w:ascii="Century Gothic" w:hAnsi="Century Gothic"/>
          <w:i/>
          <w:iCs/>
          <w:sz w:val="21"/>
          <w:szCs w:val="21"/>
        </w:rPr>
        <w:t>Añof</w:t>
      </w:r>
      <w:r w:rsidRPr="0031046B">
        <w:rPr>
          <w:rFonts w:ascii="Century Gothic" w:hAnsi="Century Gothic"/>
          <w:sz w:val="21"/>
          <w:szCs w:val="21"/>
        </w:rPr>
        <w:t xml:space="preserve"> es el año final de vigencia de tarifa</w:t>
      </w:r>
    </w:p>
    <w:p w:rsidR="00E01693" w:rsidRPr="0031046B" w:rsidRDefault="00E01693" w:rsidP="00E01693">
      <w:pPr>
        <w:spacing w:after="0" w:line="240" w:lineRule="auto"/>
        <w:ind w:left="567" w:right="333"/>
        <w:jc w:val="both"/>
        <w:rPr>
          <w:rFonts w:ascii="Century Gothic" w:hAnsi="Century Gothic"/>
          <w:sz w:val="21"/>
          <w:szCs w:val="21"/>
        </w:rPr>
      </w:pPr>
    </w:p>
    <w:p w:rsidR="00E01693" w:rsidRPr="0031046B" w:rsidRDefault="00E01693" w:rsidP="00E01693">
      <w:pPr>
        <w:spacing w:after="0" w:line="240" w:lineRule="auto"/>
        <w:ind w:left="567" w:right="333"/>
        <w:jc w:val="both"/>
        <w:rPr>
          <w:rFonts w:ascii="Century Gothic" w:hAnsi="Century Gothic"/>
          <w:b/>
          <w:bCs/>
          <w:sz w:val="21"/>
          <w:szCs w:val="21"/>
        </w:rPr>
      </w:pPr>
      <m:oMath>
        <m:sSub>
          <m:sSubPr>
            <m:ctrlPr>
              <w:rPr>
                <w:rFonts w:ascii="Cambria Math" w:hAnsi="Cambria Math"/>
                <w:i/>
                <w:iCs/>
                <w:sz w:val="21"/>
                <w:szCs w:val="21"/>
              </w:rPr>
            </m:ctrlPr>
          </m:sSubPr>
          <m:e>
            <m:r>
              <w:rPr>
                <w:rFonts w:ascii="Cambria Math" w:hAnsi="Cambria Math"/>
                <w:sz w:val="21"/>
                <w:szCs w:val="21"/>
              </w:rPr>
              <m:t>TPV</m:t>
            </m:r>
          </m:e>
          <m:sub>
            <m:r>
              <w:rPr>
                <w:rFonts w:ascii="Cambria Math" w:hAnsi="Cambria Math"/>
                <w:sz w:val="21"/>
                <w:szCs w:val="21"/>
              </w:rPr>
              <m:t>t</m:t>
            </m:r>
          </m:sub>
        </m:sSub>
      </m:oMath>
      <w:r w:rsidRPr="0031046B">
        <w:rPr>
          <w:rFonts w:ascii="Century Gothic" w:hAnsi="Century Gothic"/>
          <w:sz w:val="21"/>
          <w:szCs w:val="21"/>
        </w:rPr>
        <w:t xml:space="preserve">= </w:t>
      </w:r>
      <w:r w:rsidRPr="0031046B">
        <w:rPr>
          <w:rFonts w:ascii="Century Gothic" w:hAnsi="Century Gothic"/>
          <w:b/>
          <w:bCs/>
          <w:sz w:val="21"/>
          <w:szCs w:val="21"/>
        </w:rPr>
        <w:t>Tarifa Ponderada Vigente en un año</w:t>
      </w:r>
    </w:p>
    <w:p w:rsidR="00E01693" w:rsidRPr="0031046B" w:rsidRDefault="00E01693" w:rsidP="00E01693">
      <w:pPr>
        <w:spacing w:after="0" w:line="240" w:lineRule="auto"/>
        <w:ind w:left="567" w:right="333"/>
        <w:jc w:val="both"/>
        <w:rPr>
          <w:rFonts w:ascii="Century Gothic" w:hAnsi="Century Gothic"/>
          <w:sz w:val="21"/>
          <w:szCs w:val="21"/>
        </w:rPr>
      </w:pPr>
    </w:p>
    <w:p w:rsidR="00E01693" w:rsidRPr="0031046B" w:rsidRDefault="00E01693" w:rsidP="00E01693">
      <w:pPr>
        <w:spacing w:after="0" w:line="240" w:lineRule="auto"/>
        <w:ind w:left="567" w:right="333"/>
        <w:jc w:val="both"/>
        <w:rPr>
          <w:rFonts w:ascii="Century Gothic" w:hAnsi="Century Gothic"/>
          <w:sz w:val="21"/>
          <w:szCs w:val="21"/>
        </w:rPr>
      </w:pPr>
      <m:oMath>
        <m:sSub>
          <m:sSubPr>
            <m:ctrlPr>
              <w:rPr>
                <w:rFonts w:ascii="Cambria Math" w:hAnsi="Cambria Math"/>
                <w:i/>
                <w:iCs/>
                <w:sz w:val="21"/>
                <w:szCs w:val="21"/>
              </w:rPr>
            </m:ctrlPr>
          </m:sSubPr>
          <m:e>
            <m:r>
              <w:rPr>
                <w:rFonts w:ascii="Cambria Math" w:hAnsi="Cambria Math"/>
                <w:sz w:val="21"/>
                <w:szCs w:val="21"/>
              </w:rPr>
              <m:t>% Indx</m:t>
            </m:r>
          </m:e>
          <m:sub>
            <m:r>
              <w:rPr>
                <w:rFonts w:ascii="Cambria Math" w:hAnsi="Cambria Math"/>
                <w:sz w:val="21"/>
                <w:szCs w:val="21"/>
              </w:rPr>
              <m:t>Anual</m:t>
            </m:r>
          </m:sub>
        </m:sSub>
      </m:oMath>
      <w:r w:rsidRPr="0031046B">
        <w:rPr>
          <w:rFonts w:ascii="Century Gothic" w:hAnsi="Century Gothic"/>
          <w:sz w:val="21"/>
          <w:szCs w:val="21"/>
        </w:rPr>
        <w:t xml:space="preserve">= Porcentaje de Indexación anual </w:t>
      </w:r>
    </w:p>
    <w:p w:rsidR="00E01693" w:rsidRPr="0031046B" w:rsidRDefault="00E01693" w:rsidP="00E01693">
      <w:pPr>
        <w:spacing w:after="0" w:line="240" w:lineRule="auto"/>
        <w:jc w:val="both"/>
        <w:rPr>
          <w:rFonts w:ascii="Century Gothic" w:hAnsi="Century Gothic"/>
          <w:sz w:val="21"/>
          <w:szCs w:val="21"/>
        </w:rPr>
      </w:pPr>
    </w:p>
    <w:p w:rsidR="00E01693" w:rsidRPr="0031046B" w:rsidRDefault="00E01693" w:rsidP="00E01693">
      <w:pPr>
        <w:jc w:val="both"/>
        <w:rPr>
          <w:rFonts w:ascii="Century Gothic" w:hAnsi="Century Gothic"/>
          <w:sz w:val="21"/>
          <w:szCs w:val="21"/>
        </w:rPr>
      </w:pPr>
      <w:hyperlink r:id="rId14" w:history="1">
        <w:r w:rsidRPr="0031046B">
          <w:rPr>
            <w:rStyle w:val="Hipervnculo"/>
            <w:rFonts w:ascii="Century Gothic" w:hAnsi="Century Gothic"/>
            <w:sz w:val="21"/>
            <w:szCs w:val="21"/>
          </w:rPr>
          <w:t>https://apiperiodico.jalisco.gob.mx/api/newspaper/getAsset?q=newspaper/22984/1734734280-2024-12-20-.pdf</w:t>
        </w:r>
      </w:hyperlink>
    </w:p>
    <w:p w:rsidR="00E01693" w:rsidRPr="0031046B" w:rsidRDefault="00E01693" w:rsidP="00E01693">
      <w:pPr>
        <w:jc w:val="both"/>
        <w:rPr>
          <w:rFonts w:ascii="Century Gothic" w:hAnsi="Century Gothic"/>
          <w:sz w:val="21"/>
          <w:szCs w:val="21"/>
        </w:rPr>
      </w:pPr>
      <w:r w:rsidRPr="0031046B">
        <w:rPr>
          <w:rFonts w:ascii="Century Gothic" w:hAnsi="Century Gothic"/>
          <w:sz w:val="21"/>
          <w:szCs w:val="21"/>
        </w:rPr>
        <w:t xml:space="preserve">Se hace de su conocimiento que las proyecciones del impacto social y económico derivado del transporte público, incluyendo análisis de afectación a distintos sectores de la población, se encuentra imposibilitada  esta dirección ya que no obra información alguna, sin embargo se cuenta y comparte la siguientes proyecciones referente al Diésel, GNC, INPP y Salario mínimo.             </w:t>
      </w:r>
    </w:p>
    <w:p w:rsidR="00E01693" w:rsidRPr="0031046B" w:rsidRDefault="00E01693" w:rsidP="00E01693">
      <w:pPr>
        <w:jc w:val="center"/>
        <w:rPr>
          <w:rFonts w:ascii="Century Gothic" w:hAnsi="Century Gothic"/>
          <w:b/>
          <w:sz w:val="21"/>
          <w:szCs w:val="21"/>
        </w:rPr>
      </w:pPr>
      <w:r w:rsidRPr="0031046B">
        <w:rPr>
          <w:rFonts w:ascii="Century Gothic" w:hAnsi="Century Gothic"/>
          <w:b/>
          <w:sz w:val="21"/>
          <w:szCs w:val="21"/>
        </w:rPr>
        <w:t>(Actualización de los precios del Diésel al 2025).</w:t>
      </w:r>
    </w:p>
    <w:p w:rsidR="00E01693" w:rsidRPr="0031046B" w:rsidRDefault="00E01693" w:rsidP="00E01693">
      <w:pPr>
        <w:jc w:val="center"/>
        <w:rPr>
          <w:rStyle w:val="Hipervnculo"/>
          <w:rFonts w:ascii="Century Gothic" w:hAnsi="Century Gothic"/>
          <w:sz w:val="21"/>
          <w:szCs w:val="21"/>
        </w:rPr>
      </w:pPr>
      <w:r w:rsidRPr="0031046B">
        <w:rPr>
          <w:rStyle w:val="Hipervnculo"/>
          <w:rFonts w:ascii="Century Gothic" w:hAnsi="Century Gothic"/>
          <w:noProof/>
          <w:sz w:val="21"/>
          <w:szCs w:val="21"/>
        </w:rPr>
        <w:lastRenderedPageBreak/>
        <w:drawing>
          <wp:inline distT="0" distB="0" distL="0" distR="0">
            <wp:extent cx="3371353" cy="1693628"/>
            <wp:effectExtent l="0" t="0" r="635" b="1905"/>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371353" cy="1693628"/>
                    </a:xfrm>
                    <a:prstGeom prst="rect">
                      <a:avLst/>
                    </a:prstGeom>
                  </pic:spPr>
                </pic:pic>
              </a:graphicData>
            </a:graphic>
          </wp:inline>
        </w:drawing>
      </w:r>
    </w:p>
    <w:p w:rsidR="00E01693" w:rsidRPr="0031046B" w:rsidRDefault="00E01693" w:rsidP="00E01693">
      <w:pPr>
        <w:jc w:val="center"/>
        <w:rPr>
          <w:rStyle w:val="Hipervnculo"/>
          <w:rFonts w:ascii="Century Gothic" w:hAnsi="Century Gothic"/>
          <w:sz w:val="21"/>
          <w:szCs w:val="21"/>
        </w:rPr>
      </w:pPr>
      <w:r w:rsidRPr="0031046B">
        <w:rPr>
          <w:rFonts w:ascii="Century Gothic" w:hAnsi="Century Gothic"/>
          <w:b/>
          <w:sz w:val="21"/>
          <w:szCs w:val="21"/>
        </w:rPr>
        <w:t>(Variación de los precios del Diésel).</w:t>
      </w:r>
    </w:p>
    <w:p w:rsidR="00E01693" w:rsidRPr="0031046B" w:rsidRDefault="00E01693" w:rsidP="00E01693">
      <w:pPr>
        <w:jc w:val="center"/>
        <w:rPr>
          <w:rStyle w:val="Hipervnculo"/>
          <w:rFonts w:ascii="Century Gothic" w:hAnsi="Century Gothic"/>
          <w:sz w:val="21"/>
          <w:szCs w:val="21"/>
        </w:rPr>
      </w:pPr>
      <w:r w:rsidRPr="0031046B">
        <w:rPr>
          <w:rStyle w:val="Hipervnculo"/>
          <w:rFonts w:ascii="Century Gothic" w:hAnsi="Century Gothic"/>
          <w:noProof/>
          <w:sz w:val="21"/>
          <w:szCs w:val="21"/>
        </w:rPr>
        <w:drawing>
          <wp:inline distT="0" distB="0" distL="0" distR="0">
            <wp:extent cx="4174434" cy="2283705"/>
            <wp:effectExtent l="0" t="0" r="0" b="254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176185" cy="2284663"/>
                    </a:xfrm>
                    <a:prstGeom prst="rect">
                      <a:avLst/>
                    </a:prstGeom>
                  </pic:spPr>
                </pic:pic>
              </a:graphicData>
            </a:graphic>
          </wp:inline>
        </w:drawing>
      </w:r>
    </w:p>
    <w:p w:rsidR="00E01693" w:rsidRPr="0031046B" w:rsidRDefault="00E01693" w:rsidP="00E01693">
      <w:pPr>
        <w:jc w:val="center"/>
        <w:rPr>
          <w:rStyle w:val="Hipervnculo"/>
          <w:rFonts w:ascii="Century Gothic" w:hAnsi="Century Gothic"/>
          <w:sz w:val="21"/>
          <w:szCs w:val="21"/>
        </w:rPr>
      </w:pPr>
      <w:r w:rsidRPr="0031046B">
        <w:rPr>
          <w:rStyle w:val="Hipervnculo"/>
          <w:rFonts w:ascii="Century Gothic" w:hAnsi="Century Gothic"/>
          <w:b/>
          <w:sz w:val="21"/>
          <w:szCs w:val="21"/>
        </w:rPr>
        <w:t>Fuente</w:t>
      </w:r>
      <w:r w:rsidRPr="0031046B">
        <w:rPr>
          <w:rStyle w:val="Hipervnculo"/>
          <w:rFonts w:ascii="Century Gothic" w:hAnsi="Century Gothic"/>
          <w:sz w:val="21"/>
          <w:szCs w:val="21"/>
        </w:rPr>
        <w:t xml:space="preserve">: elaboración propia con base en información de la Comisión Reguladora de Energía, Disponible en: </w:t>
      </w:r>
      <w:hyperlink r:id="rId17" w:history="1">
        <w:r w:rsidRPr="0031046B">
          <w:rPr>
            <w:rStyle w:val="Hipervnculo"/>
            <w:rFonts w:ascii="Century Gothic" w:hAnsi="Century Gothic"/>
            <w:sz w:val="21"/>
            <w:szCs w:val="21"/>
          </w:rPr>
          <w:t>www.gob.mx/cne/articulos/consulta-de-datos-abiertos</w:t>
        </w:r>
      </w:hyperlink>
    </w:p>
    <w:p w:rsidR="00E01693" w:rsidRPr="0031046B" w:rsidRDefault="00E01693" w:rsidP="00E01693">
      <w:pPr>
        <w:jc w:val="center"/>
        <w:rPr>
          <w:rStyle w:val="Hipervnculo"/>
          <w:rFonts w:ascii="Century Gothic" w:hAnsi="Century Gothic"/>
          <w:b/>
          <w:sz w:val="21"/>
          <w:szCs w:val="21"/>
        </w:rPr>
      </w:pPr>
      <w:r w:rsidRPr="0031046B">
        <w:rPr>
          <w:rStyle w:val="Hipervnculo"/>
          <w:rFonts w:ascii="Century Gothic" w:hAnsi="Century Gothic"/>
          <w:b/>
          <w:sz w:val="21"/>
          <w:szCs w:val="21"/>
        </w:rPr>
        <w:t>(Actualización de los precios del GNC al 2025).</w:t>
      </w:r>
    </w:p>
    <w:p w:rsidR="00E01693" w:rsidRPr="0031046B" w:rsidRDefault="00E01693" w:rsidP="00E01693">
      <w:pPr>
        <w:jc w:val="center"/>
        <w:rPr>
          <w:rStyle w:val="Hipervnculo"/>
          <w:rFonts w:ascii="Century Gothic" w:hAnsi="Century Gothic"/>
          <w:b/>
          <w:sz w:val="21"/>
          <w:szCs w:val="21"/>
        </w:rPr>
      </w:pPr>
      <w:r w:rsidRPr="0031046B">
        <w:rPr>
          <w:rStyle w:val="Hipervnculo"/>
          <w:rFonts w:ascii="Century Gothic" w:hAnsi="Century Gothic"/>
          <w:b/>
          <w:noProof/>
          <w:sz w:val="21"/>
          <w:szCs w:val="21"/>
        </w:rPr>
        <w:lastRenderedPageBreak/>
        <w:drawing>
          <wp:inline distT="0" distB="0" distL="0" distR="0">
            <wp:extent cx="3419061" cy="1852654"/>
            <wp:effectExtent l="0" t="0" r="0" b="0"/>
            <wp:docPr id="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427870" cy="1857427"/>
                    </a:xfrm>
                    <a:prstGeom prst="rect">
                      <a:avLst/>
                    </a:prstGeom>
                  </pic:spPr>
                </pic:pic>
              </a:graphicData>
            </a:graphic>
          </wp:inline>
        </w:drawing>
      </w:r>
    </w:p>
    <w:p w:rsidR="00E01693" w:rsidRPr="0031046B" w:rsidRDefault="00E01693" w:rsidP="00E01693">
      <w:pPr>
        <w:jc w:val="center"/>
        <w:rPr>
          <w:rStyle w:val="Hipervnculo"/>
          <w:rFonts w:ascii="Century Gothic" w:hAnsi="Century Gothic"/>
          <w:b/>
          <w:sz w:val="21"/>
          <w:szCs w:val="21"/>
        </w:rPr>
      </w:pPr>
      <w:r w:rsidRPr="0031046B">
        <w:rPr>
          <w:rStyle w:val="Hipervnculo"/>
          <w:rFonts w:ascii="Century Gothic" w:hAnsi="Century Gothic"/>
          <w:b/>
          <w:sz w:val="21"/>
          <w:szCs w:val="21"/>
        </w:rPr>
        <w:t>(Variación de los precios del GNC).</w:t>
      </w:r>
    </w:p>
    <w:p w:rsidR="00E01693" w:rsidRPr="0031046B" w:rsidRDefault="00E01693" w:rsidP="00E01693">
      <w:pPr>
        <w:jc w:val="center"/>
        <w:rPr>
          <w:rStyle w:val="Hipervnculo"/>
          <w:rFonts w:ascii="Century Gothic" w:hAnsi="Century Gothic"/>
          <w:b/>
          <w:sz w:val="21"/>
          <w:szCs w:val="21"/>
        </w:rPr>
      </w:pPr>
      <w:r w:rsidRPr="0031046B">
        <w:rPr>
          <w:rStyle w:val="Hipervnculo"/>
          <w:rFonts w:ascii="Century Gothic" w:hAnsi="Century Gothic"/>
          <w:b/>
          <w:noProof/>
          <w:sz w:val="21"/>
          <w:szCs w:val="21"/>
        </w:rPr>
        <w:drawing>
          <wp:inline distT="0" distB="0" distL="0" distR="0">
            <wp:extent cx="3927944" cy="2234316"/>
            <wp:effectExtent l="0" t="0" r="0" b="0"/>
            <wp:docPr id="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934170" cy="2237858"/>
                    </a:xfrm>
                    <a:prstGeom prst="rect">
                      <a:avLst/>
                    </a:prstGeom>
                  </pic:spPr>
                </pic:pic>
              </a:graphicData>
            </a:graphic>
          </wp:inline>
        </w:drawing>
      </w:r>
    </w:p>
    <w:p w:rsidR="00E01693" w:rsidRPr="0031046B" w:rsidRDefault="00E01693" w:rsidP="00E01693">
      <w:pPr>
        <w:jc w:val="center"/>
        <w:rPr>
          <w:rStyle w:val="Hipervnculo"/>
          <w:rFonts w:ascii="Century Gothic" w:hAnsi="Century Gothic"/>
          <w:b/>
          <w:sz w:val="21"/>
          <w:szCs w:val="21"/>
        </w:rPr>
      </w:pPr>
      <w:r w:rsidRPr="0031046B">
        <w:rPr>
          <w:rStyle w:val="Hipervnculo"/>
          <w:rFonts w:ascii="Century Gothic" w:hAnsi="Century Gothic"/>
          <w:b/>
          <w:sz w:val="21"/>
          <w:szCs w:val="21"/>
        </w:rPr>
        <w:t>Fuente:</w:t>
      </w:r>
      <w:r w:rsidRPr="0031046B">
        <w:rPr>
          <w:rStyle w:val="Hipervnculo"/>
          <w:rFonts w:ascii="Century Gothic" w:hAnsi="Century Gothic"/>
          <w:sz w:val="21"/>
          <w:szCs w:val="21"/>
        </w:rPr>
        <w:t xml:space="preserve"> elaboración propia con base en información de la Comisión Reguladora de Energía, Disponible en: </w:t>
      </w:r>
      <w:hyperlink r:id="rId20" w:history="1">
        <w:r w:rsidRPr="0031046B">
          <w:rPr>
            <w:rStyle w:val="Hipervnculo"/>
            <w:rFonts w:ascii="Century Gothic" w:hAnsi="Century Gothic"/>
            <w:sz w:val="21"/>
            <w:szCs w:val="21"/>
          </w:rPr>
          <w:t>www.gob.mx/cne/articulos/consulta-de-datos-abiertos www.cne.gob.mx/IPGN/</w:t>
        </w:r>
      </w:hyperlink>
    </w:p>
    <w:p w:rsidR="00E01693" w:rsidRPr="0031046B" w:rsidRDefault="00E01693" w:rsidP="00E01693">
      <w:pPr>
        <w:jc w:val="center"/>
        <w:rPr>
          <w:rStyle w:val="Hipervnculo"/>
          <w:rFonts w:ascii="Century Gothic" w:hAnsi="Century Gothic"/>
          <w:b/>
          <w:sz w:val="21"/>
          <w:szCs w:val="21"/>
        </w:rPr>
      </w:pPr>
      <w:r w:rsidRPr="0031046B">
        <w:rPr>
          <w:rStyle w:val="Hipervnculo"/>
          <w:rFonts w:ascii="Century Gothic" w:hAnsi="Century Gothic"/>
          <w:b/>
          <w:sz w:val="21"/>
          <w:szCs w:val="21"/>
        </w:rPr>
        <w:t>(Actualización de los precios del INPP al 2025).</w:t>
      </w:r>
    </w:p>
    <w:p w:rsidR="00E01693" w:rsidRPr="0031046B" w:rsidRDefault="00E01693" w:rsidP="00E01693">
      <w:pPr>
        <w:jc w:val="center"/>
        <w:rPr>
          <w:rStyle w:val="Hipervnculo"/>
          <w:rFonts w:ascii="Century Gothic" w:hAnsi="Century Gothic"/>
          <w:b/>
          <w:sz w:val="21"/>
          <w:szCs w:val="21"/>
        </w:rPr>
      </w:pPr>
      <w:r w:rsidRPr="0031046B">
        <w:rPr>
          <w:rStyle w:val="Hipervnculo"/>
          <w:rFonts w:ascii="Century Gothic" w:hAnsi="Century Gothic"/>
          <w:b/>
          <w:noProof/>
          <w:sz w:val="21"/>
          <w:szCs w:val="21"/>
        </w:rPr>
        <w:lastRenderedPageBreak/>
        <w:drawing>
          <wp:inline distT="0" distB="0" distL="0" distR="0">
            <wp:extent cx="3490694" cy="2469712"/>
            <wp:effectExtent l="0" t="0" r="0" b="6985"/>
            <wp:docPr id="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502091" cy="2477775"/>
                    </a:xfrm>
                    <a:prstGeom prst="rect">
                      <a:avLst/>
                    </a:prstGeom>
                  </pic:spPr>
                </pic:pic>
              </a:graphicData>
            </a:graphic>
          </wp:inline>
        </w:drawing>
      </w:r>
    </w:p>
    <w:p w:rsidR="00E01693" w:rsidRPr="0031046B" w:rsidRDefault="00E01693" w:rsidP="00E01693">
      <w:pPr>
        <w:jc w:val="center"/>
        <w:rPr>
          <w:rStyle w:val="Hipervnculo"/>
          <w:rFonts w:ascii="Century Gothic" w:hAnsi="Century Gothic"/>
          <w:b/>
          <w:sz w:val="21"/>
          <w:szCs w:val="21"/>
        </w:rPr>
      </w:pPr>
      <w:r w:rsidRPr="0031046B">
        <w:rPr>
          <w:rStyle w:val="Hipervnculo"/>
          <w:rFonts w:ascii="Century Gothic" w:hAnsi="Century Gothic"/>
          <w:b/>
          <w:sz w:val="21"/>
          <w:szCs w:val="21"/>
        </w:rPr>
        <w:t>(Índice Nacional de Precios al Productor).</w:t>
      </w:r>
      <w:r w:rsidRPr="0031046B">
        <w:rPr>
          <w:rStyle w:val="Hipervnculo"/>
          <w:rFonts w:ascii="Century Gothic" w:hAnsi="Century Gothic"/>
          <w:b/>
          <w:noProof/>
          <w:sz w:val="21"/>
          <w:szCs w:val="21"/>
        </w:rPr>
        <w:drawing>
          <wp:inline distT="0" distB="0" distL="0" distR="0">
            <wp:extent cx="3697356" cy="1502797"/>
            <wp:effectExtent l="0" t="0" r="0" b="2540"/>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698053" cy="1503080"/>
                    </a:xfrm>
                    <a:prstGeom prst="rect">
                      <a:avLst/>
                    </a:prstGeom>
                  </pic:spPr>
                </pic:pic>
              </a:graphicData>
            </a:graphic>
          </wp:inline>
        </w:drawing>
      </w:r>
    </w:p>
    <w:p w:rsidR="00E01693" w:rsidRPr="0031046B" w:rsidRDefault="00E01693" w:rsidP="00E01693">
      <w:pPr>
        <w:jc w:val="center"/>
        <w:rPr>
          <w:rStyle w:val="Hipervnculo"/>
          <w:rFonts w:ascii="Century Gothic" w:hAnsi="Century Gothic"/>
          <w:sz w:val="21"/>
          <w:szCs w:val="21"/>
        </w:rPr>
      </w:pPr>
      <w:r w:rsidRPr="0031046B">
        <w:rPr>
          <w:rStyle w:val="Hipervnculo"/>
          <w:rFonts w:ascii="Century Gothic" w:hAnsi="Century Gothic"/>
          <w:b/>
          <w:sz w:val="21"/>
          <w:szCs w:val="21"/>
        </w:rPr>
        <w:t>Fuente:</w:t>
      </w:r>
      <w:r w:rsidRPr="0031046B">
        <w:rPr>
          <w:rStyle w:val="Hipervnculo"/>
          <w:rFonts w:ascii="Century Gothic" w:hAnsi="Century Gothic"/>
          <w:sz w:val="21"/>
          <w:szCs w:val="21"/>
        </w:rPr>
        <w:t xml:space="preserve"> Elaboración propia con base en información del Instituto Nacional y Estadísticas y Geografía (INEGI). Disponible en </w:t>
      </w:r>
      <w:hyperlink r:id="rId23" w:history="1">
        <w:r w:rsidRPr="0031046B">
          <w:rPr>
            <w:rStyle w:val="Hipervnculo"/>
            <w:rFonts w:ascii="Century Gothic" w:hAnsi="Century Gothic"/>
            <w:sz w:val="21"/>
            <w:szCs w:val="21"/>
          </w:rPr>
          <w:t>www.inegi.org.mx/temas/inpp</w:t>
        </w:r>
      </w:hyperlink>
    </w:p>
    <w:p w:rsidR="00E01693" w:rsidRPr="0031046B" w:rsidRDefault="00E01693" w:rsidP="00E01693">
      <w:pPr>
        <w:jc w:val="center"/>
        <w:rPr>
          <w:rStyle w:val="Hipervnculo"/>
          <w:rFonts w:ascii="Century Gothic" w:hAnsi="Century Gothic"/>
          <w:b/>
          <w:sz w:val="21"/>
          <w:szCs w:val="21"/>
        </w:rPr>
      </w:pPr>
      <w:r w:rsidRPr="0031046B">
        <w:rPr>
          <w:rStyle w:val="Hipervnculo"/>
          <w:rFonts w:ascii="Century Gothic" w:hAnsi="Century Gothic"/>
          <w:b/>
          <w:sz w:val="21"/>
          <w:szCs w:val="21"/>
        </w:rPr>
        <w:t>(Actualización del salario mínimo al 2025).</w:t>
      </w:r>
    </w:p>
    <w:p w:rsidR="00E01693" w:rsidRPr="0031046B" w:rsidRDefault="00E01693" w:rsidP="00E01693">
      <w:pPr>
        <w:jc w:val="center"/>
        <w:rPr>
          <w:rStyle w:val="Hipervnculo"/>
          <w:rFonts w:ascii="Century Gothic" w:hAnsi="Century Gothic"/>
          <w:b/>
          <w:sz w:val="21"/>
          <w:szCs w:val="21"/>
        </w:rPr>
      </w:pPr>
      <w:r w:rsidRPr="0031046B">
        <w:rPr>
          <w:rStyle w:val="Hipervnculo"/>
          <w:rFonts w:ascii="Century Gothic" w:hAnsi="Century Gothic"/>
          <w:b/>
          <w:noProof/>
          <w:sz w:val="21"/>
          <w:szCs w:val="21"/>
        </w:rPr>
        <w:drawing>
          <wp:inline distT="0" distB="0" distL="0" distR="0">
            <wp:extent cx="3013544" cy="1773141"/>
            <wp:effectExtent l="0" t="0" r="0" b="0"/>
            <wp:docPr id="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029606" cy="1782592"/>
                    </a:xfrm>
                    <a:prstGeom prst="rect">
                      <a:avLst/>
                    </a:prstGeom>
                  </pic:spPr>
                </pic:pic>
              </a:graphicData>
            </a:graphic>
          </wp:inline>
        </w:drawing>
      </w:r>
    </w:p>
    <w:p w:rsidR="00E01693" w:rsidRPr="0031046B" w:rsidRDefault="00E01693" w:rsidP="00E01693">
      <w:pPr>
        <w:jc w:val="center"/>
        <w:rPr>
          <w:rStyle w:val="Hipervnculo"/>
          <w:rFonts w:ascii="Century Gothic" w:hAnsi="Century Gothic"/>
          <w:b/>
          <w:sz w:val="21"/>
          <w:szCs w:val="21"/>
        </w:rPr>
      </w:pPr>
      <w:r w:rsidRPr="0031046B">
        <w:rPr>
          <w:rStyle w:val="Hipervnculo"/>
          <w:rFonts w:ascii="Century Gothic" w:hAnsi="Century Gothic"/>
          <w:b/>
          <w:sz w:val="21"/>
          <w:szCs w:val="21"/>
        </w:rPr>
        <w:lastRenderedPageBreak/>
        <w:t>(Salarios Mínimos)</w:t>
      </w:r>
    </w:p>
    <w:p w:rsidR="00E01693" w:rsidRPr="0031046B" w:rsidRDefault="00E01693" w:rsidP="00E01693">
      <w:pPr>
        <w:jc w:val="center"/>
        <w:rPr>
          <w:rStyle w:val="Hipervnculo"/>
          <w:rFonts w:ascii="Century Gothic" w:hAnsi="Century Gothic"/>
          <w:b/>
          <w:sz w:val="21"/>
          <w:szCs w:val="21"/>
        </w:rPr>
      </w:pPr>
      <w:r w:rsidRPr="0031046B">
        <w:rPr>
          <w:rStyle w:val="Hipervnculo"/>
          <w:rFonts w:ascii="Century Gothic" w:hAnsi="Century Gothic"/>
          <w:b/>
          <w:noProof/>
          <w:sz w:val="21"/>
          <w:szCs w:val="21"/>
        </w:rPr>
        <w:drawing>
          <wp:inline distT="0" distB="0" distL="0" distR="0">
            <wp:extent cx="3784821" cy="1900361"/>
            <wp:effectExtent l="0" t="0" r="6350" b="5080"/>
            <wp:docPr id="3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794432" cy="1905187"/>
                    </a:xfrm>
                    <a:prstGeom prst="rect">
                      <a:avLst/>
                    </a:prstGeom>
                  </pic:spPr>
                </pic:pic>
              </a:graphicData>
            </a:graphic>
          </wp:inline>
        </w:drawing>
      </w:r>
    </w:p>
    <w:p w:rsidR="00E01693" w:rsidRPr="0031046B" w:rsidRDefault="00E01693" w:rsidP="00E01693">
      <w:pPr>
        <w:jc w:val="center"/>
        <w:rPr>
          <w:rStyle w:val="Hipervnculo"/>
          <w:rFonts w:ascii="Century Gothic" w:hAnsi="Century Gothic"/>
          <w:sz w:val="21"/>
          <w:szCs w:val="21"/>
        </w:rPr>
      </w:pPr>
      <w:r w:rsidRPr="0031046B">
        <w:rPr>
          <w:rStyle w:val="Hipervnculo"/>
          <w:rFonts w:ascii="Century Gothic" w:hAnsi="Century Gothic"/>
          <w:b/>
          <w:sz w:val="21"/>
          <w:szCs w:val="21"/>
        </w:rPr>
        <w:t xml:space="preserve">Fuente: </w:t>
      </w:r>
      <w:r w:rsidRPr="0031046B">
        <w:rPr>
          <w:rStyle w:val="Hipervnculo"/>
          <w:rFonts w:ascii="Century Gothic" w:hAnsi="Century Gothic"/>
          <w:sz w:val="21"/>
          <w:szCs w:val="21"/>
        </w:rPr>
        <w:t xml:space="preserve">elaboración propia con base en información de la Comisión Nacional de los Salarios Mínimos (CONASAMI) en: </w:t>
      </w:r>
      <w:hyperlink r:id="rId26" w:history="1">
        <w:r w:rsidRPr="0031046B">
          <w:rPr>
            <w:rStyle w:val="Hipervnculo"/>
            <w:rFonts w:ascii="Century Gothic" w:hAnsi="Century Gothic"/>
            <w:sz w:val="21"/>
            <w:szCs w:val="21"/>
          </w:rPr>
          <w:t>www.gob.mx/conasami</w:t>
        </w:r>
      </w:hyperlink>
      <w:r>
        <w:t xml:space="preserve">     …”</w:t>
      </w:r>
    </w:p>
    <w:p w:rsidR="00745178" w:rsidRPr="00AF2AB5" w:rsidRDefault="00745178" w:rsidP="001A0539">
      <w:pPr>
        <w:pStyle w:val="Sinespaciado"/>
        <w:rPr>
          <w:rFonts w:ascii="Arial" w:hAnsi="Arial" w:cs="Arial"/>
          <w:color w:val="000000" w:themeColor="text1"/>
          <w:sz w:val="24"/>
          <w:szCs w:val="24"/>
        </w:rPr>
      </w:pPr>
      <w:r w:rsidRPr="00AF2AB5">
        <w:rPr>
          <w:rFonts w:ascii="Arial" w:hAnsi="Arial" w:cs="Arial"/>
          <w:color w:val="000000" w:themeColor="text1"/>
          <w:sz w:val="24"/>
          <w:szCs w:val="24"/>
        </w:rPr>
        <w:t>De acuerdo a lo anterior, se le hace llegar la solicitud, para la elaboración de la resolución, no omito mencionar que la solicitud contiene datos confidenciales, por lo que deberá de ser tratada co</w:t>
      </w:r>
      <w:r w:rsidR="003452A7">
        <w:rPr>
          <w:rFonts w:ascii="Arial" w:hAnsi="Arial" w:cs="Arial"/>
          <w:color w:val="000000" w:themeColor="text1"/>
          <w:sz w:val="24"/>
          <w:szCs w:val="24"/>
        </w:rPr>
        <w:t xml:space="preserve">nforme a la Ley de Transparencia  y Acceso a la Información Pública </w:t>
      </w:r>
      <w:r w:rsidRPr="00AF2AB5">
        <w:rPr>
          <w:rFonts w:ascii="Arial" w:hAnsi="Arial" w:cs="Arial"/>
          <w:color w:val="000000" w:themeColor="text1"/>
          <w:sz w:val="24"/>
          <w:szCs w:val="24"/>
        </w:rPr>
        <w:t>vigente.</w:t>
      </w:r>
    </w:p>
    <w:p w:rsidR="00745178" w:rsidRPr="00AF2AB5" w:rsidRDefault="00745178" w:rsidP="00745178">
      <w:pPr>
        <w:pStyle w:val="Sinespaciado"/>
        <w:jc w:val="both"/>
        <w:rPr>
          <w:rFonts w:ascii="Arial" w:hAnsi="Arial" w:cs="Arial"/>
          <w:color w:val="000000" w:themeColor="text1"/>
          <w:sz w:val="24"/>
          <w:szCs w:val="24"/>
        </w:rPr>
      </w:pPr>
    </w:p>
    <w:p w:rsidR="00745178" w:rsidRDefault="00745178" w:rsidP="00745178">
      <w:pPr>
        <w:pStyle w:val="Sinespaciado"/>
        <w:jc w:val="both"/>
        <w:rPr>
          <w:rFonts w:ascii="Arial" w:hAnsi="Arial" w:cs="Arial"/>
          <w:color w:val="000000" w:themeColor="text1"/>
          <w:sz w:val="24"/>
          <w:szCs w:val="24"/>
        </w:rPr>
      </w:pPr>
      <w:r w:rsidRPr="00AF2AB5">
        <w:rPr>
          <w:rFonts w:ascii="Arial" w:hAnsi="Arial" w:cs="Arial"/>
          <w:color w:val="000000" w:themeColor="text1"/>
          <w:sz w:val="24"/>
          <w:szCs w:val="24"/>
        </w:rPr>
        <w:t>La anterior información fue proporcionada por la Secretaría del Transporte.</w:t>
      </w:r>
    </w:p>
    <w:p w:rsidR="002B1BC5" w:rsidRPr="003452A7" w:rsidRDefault="002B1BC5" w:rsidP="00745178">
      <w:pPr>
        <w:pStyle w:val="Sinespaciado"/>
        <w:jc w:val="both"/>
        <w:rPr>
          <w:rFonts w:ascii="Arial" w:hAnsi="Arial" w:cs="Arial"/>
          <w:color w:val="000000" w:themeColor="text1"/>
          <w:sz w:val="24"/>
          <w:szCs w:val="24"/>
        </w:rPr>
      </w:pPr>
    </w:p>
    <w:p w:rsidR="004A2667" w:rsidRPr="00AF2AB5" w:rsidRDefault="004A2667" w:rsidP="004A2667">
      <w:pPr>
        <w:spacing w:after="0" w:line="240" w:lineRule="auto"/>
        <w:jc w:val="center"/>
        <w:rPr>
          <w:rFonts w:ascii="Arial" w:hAnsi="Arial" w:cs="Arial"/>
          <w:b/>
          <w:color w:val="000000"/>
          <w:sz w:val="24"/>
          <w:szCs w:val="24"/>
        </w:rPr>
      </w:pPr>
      <w:r w:rsidRPr="00AF2AB5">
        <w:rPr>
          <w:rFonts w:ascii="Arial" w:hAnsi="Arial" w:cs="Arial"/>
          <w:b/>
          <w:color w:val="000000"/>
          <w:sz w:val="24"/>
          <w:szCs w:val="24"/>
        </w:rPr>
        <w:t>Atentamente</w:t>
      </w:r>
    </w:p>
    <w:p w:rsidR="00AC65D7" w:rsidRPr="00AF2AB5" w:rsidRDefault="004A2667" w:rsidP="004C73DE">
      <w:pPr>
        <w:spacing w:after="0" w:line="240" w:lineRule="auto"/>
        <w:jc w:val="center"/>
        <w:rPr>
          <w:rFonts w:ascii="Arial" w:hAnsi="Arial" w:cs="Arial"/>
          <w:b/>
          <w:color w:val="000000"/>
          <w:sz w:val="24"/>
          <w:szCs w:val="24"/>
        </w:rPr>
      </w:pPr>
      <w:r w:rsidRPr="00AF2AB5">
        <w:rPr>
          <w:rFonts w:ascii="Arial" w:hAnsi="Arial" w:cs="Arial"/>
          <w:b/>
          <w:color w:val="000000"/>
          <w:sz w:val="24"/>
          <w:szCs w:val="24"/>
        </w:rPr>
        <w:t>“2026, JALISCO, CUNA DE IDENTIDAD NACIONAL Y EL MUNDIAL QUE NOS UNE</w:t>
      </w:r>
      <w:r w:rsidR="00AC65D7" w:rsidRPr="00AF2AB5">
        <w:rPr>
          <w:rFonts w:ascii="Arial" w:hAnsi="Arial" w:cs="Arial"/>
          <w:b/>
          <w:color w:val="000000"/>
          <w:sz w:val="24"/>
          <w:szCs w:val="24"/>
        </w:rPr>
        <w:t xml:space="preserve">” </w:t>
      </w:r>
    </w:p>
    <w:p w:rsidR="004A2667" w:rsidRPr="00AF2AB5" w:rsidRDefault="00AC65D7" w:rsidP="004C73DE">
      <w:pPr>
        <w:spacing w:after="0" w:line="240" w:lineRule="auto"/>
        <w:jc w:val="center"/>
        <w:rPr>
          <w:rFonts w:ascii="Arial" w:hAnsi="Arial" w:cs="Arial"/>
          <w:b/>
          <w:color w:val="000000"/>
          <w:sz w:val="24"/>
          <w:szCs w:val="24"/>
        </w:rPr>
      </w:pPr>
      <w:r w:rsidRPr="00AF2AB5">
        <w:rPr>
          <w:rFonts w:ascii="Arial" w:hAnsi="Arial" w:cs="Arial"/>
          <w:b/>
          <w:color w:val="000000" w:themeColor="text1"/>
          <w:sz w:val="24"/>
          <w:szCs w:val="24"/>
        </w:rPr>
        <w:t>Guadalajara,</w:t>
      </w:r>
      <w:r w:rsidR="00E01693">
        <w:rPr>
          <w:rFonts w:ascii="Arial" w:hAnsi="Arial" w:cs="Arial"/>
          <w:b/>
          <w:color w:val="000000" w:themeColor="text1"/>
          <w:sz w:val="24"/>
          <w:szCs w:val="24"/>
        </w:rPr>
        <w:t xml:space="preserve"> Jalisco a  30</w:t>
      </w:r>
      <w:r w:rsidR="004A2667" w:rsidRPr="00AF2AB5">
        <w:rPr>
          <w:rFonts w:ascii="Arial" w:hAnsi="Arial" w:cs="Arial"/>
          <w:b/>
          <w:color w:val="000000" w:themeColor="text1"/>
          <w:sz w:val="24"/>
          <w:szCs w:val="24"/>
        </w:rPr>
        <w:t xml:space="preserve"> de Marzo del 2026</w:t>
      </w:r>
    </w:p>
    <w:p w:rsidR="004A2667" w:rsidRPr="00AF2AB5" w:rsidRDefault="004A2667" w:rsidP="004A2667">
      <w:pPr>
        <w:spacing w:after="0" w:line="240" w:lineRule="auto"/>
        <w:rPr>
          <w:rFonts w:ascii="Arial" w:hAnsi="Arial" w:cs="Arial"/>
          <w:b/>
          <w:color w:val="000000"/>
          <w:sz w:val="24"/>
          <w:szCs w:val="24"/>
        </w:rPr>
      </w:pPr>
    </w:p>
    <w:p w:rsidR="002B1BC5" w:rsidRPr="00AF2AB5" w:rsidRDefault="002B1BC5" w:rsidP="004A2667">
      <w:pPr>
        <w:spacing w:after="0" w:line="240" w:lineRule="auto"/>
        <w:rPr>
          <w:rFonts w:ascii="Arial" w:hAnsi="Arial" w:cs="Arial"/>
          <w:b/>
          <w:color w:val="000000"/>
          <w:sz w:val="24"/>
          <w:szCs w:val="24"/>
        </w:rPr>
      </w:pPr>
    </w:p>
    <w:p w:rsidR="004A2667" w:rsidRDefault="004A2667" w:rsidP="004A2667">
      <w:pPr>
        <w:spacing w:after="0" w:line="240" w:lineRule="auto"/>
        <w:rPr>
          <w:rFonts w:ascii="Arial" w:hAnsi="Arial" w:cs="Arial"/>
          <w:b/>
          <w:color w:val="000000"/>
          <w:sz w:val="24"/>
          <w:szCs w:val="24"/>
        </w:rPr>
      </w:pPr>
    </w:p>
    <w:p w:rsidR="0029497C" w:rsidRPr="00AF2AB5" w:rsidRDefault="0029497C" w:rsidP="004A2667">
      <w:pPr>
        <w:spacing w:after="0" w:line="240" w:lineRule="auto"/>
        <w:rPr>
          <w:rFonts w:ascii="Arial" w:hAnsi="Arial" w:cs="Arial"/>
          <w:b/>
          <w:color w:val="000000"/>
          <w:sz w:val="24"/>
          <w:szCs w:val="24"/>
        </w:rPr>
      </w:pPr>
    </w:p>
    <w:p w:rsidR="004A2667" w:rsidRPr="00AF2AB5" w:rsidRDefault="004A2667" w:rsidP="004A2667">
      <w:pPr>
        <w:spacing w:after="0" w:line="240" w:lineRule="auto"/>
        <w:jc w:val="center"/>
        <w:rPr>
          <w:rFonts w:ascii="Arial" w:hAnsi="Arial" w:cs="Arial"/>
          <w:b/>
          <w:color w:val="000000"/>
          <w:sz w:val="24"/>
          <w:szCs w:val="24"/>
        </w:rPr>
      </w:pPr>
      <w:r w:rsidRPr="00AF2AB5">
        <w:rPr>
          <w:rFonts w:ascii="Arial" w:hAnsi="Arial" w:cs="Arial"/>
          <w:b/>
          <w:color w:val="000000"/>
          <w:sz w:val="24"/>
          <w:szCs w:val="24"/>
        </w:rPr>
        <w:t>Lic. Verónica Liliana Rodríguez Dávalos</w:t>
      </w:r>
    </w:p>
    <w:p w:rsidR="009134FC" w:rsidRDefault="004A2667" w:rsidP="00AC65D7">
      <w:pPr>
        <w:spacing w:after="0" w:line="240" w:lineRule="auto"/>
        <w:jc w:val="center"/>
        <w:rPr>
          <w:rFonts w:ascii="Arial" w:hAnsi="Arial" w:cs="Arial"/>
          <w:b/>
          <w:color w:val="000000"/>
          <w:sz w:val="24"/>
          <w:szCs w:val="24"/>
        </w:rPr>
      </w:pPr>
      <w:r w:rsidRPr="00AF2AB5">
        <w:rPr>
          <w:rFonts w:ascii="Arial" w:hAnsi="Arial" w:cs="Arial"/>
          <w:b/>
          <w:color w:val="000000"/>
          <w:sz w:val="24"/>
          <w:szCs w:val="24"/>
        </w:rPr>
        <w:t>Abogado Especializado, adscrita al Área de Enlace de la Unidad Administrativa de Transparencia de la Secretaría de Transporte</w:t>
      </w:r>
    </w:p>
    <w:p w:rsidR="00AC65D7" w:rsidRDefault="00AC65D7" w:rsidP="003452A7">
      <w:pPr>
        <w:spacing w:after="0" w:line="240" w:lineRule="auto"/>
        <w:rPr>
          <w:rFonts w:ascii="Arial" w:hAnsi="Arial" w:cs="Arial"/>
          <w:b/>
          <w:color w:val="000000"/>
          <w:sz w:val="24"/>
          <w:szCs w:val="24"/>
        </w:rPr>
      </w:pPr>
    </w:p>
    <w:p w:rsidR="0029497C" w:rsidRDefault="0029497C" w:rsidP="003452A7">
      <w:pPr>
        <w:spacing w:after="0" w:line="240" w:lineRule="auto"/>
        <w:rPr>
          <w:rFonts w:ascii="Arial" w:hAnsi="Arial" w:cs="Arial"/>
          <w:b/>
          <w:color w:val="000000"/>
          <w:sz w:val="24"/>
          <w:szCs w:val="24"/>
        </w:rPr>
      </w:pPr>
    </w:p>
    <w:p w:rsidR="0029497C" w:rsidRPr="00AF2AB5" w:rsidRDefault="0029497C" w:rsidP="003452A7">
      <w:pPr>
        <w:spacing w:after="0" w:line="240" w:lineRule="auto"/>
        <w:rPr>
          <w:rFonts w:ascii="Arial" w:hAnsi="Arial" w:cs="Arial"/>
          <w:b/>
          <w:color w:val="000000"/>
          <w:sz w:val="24"/>
          <w:szCs w:val="24"/>
        </w:rPr>
      </w:pPr>
    </w:p>
    <w:p w:rsidR="004A2667" w:rsidRPr="00AF2AB5" w:rsidRDefault="004A2667" w:rsidP="004A2667">
      <w:pPr>
        <w:spacing w:after="0" w:line="240" w:lineRule="auto"/>
        <w:jc w:val="center"/>
        <w:rPr>
          <w:rFonts w:ascii="Arial" w:hAnsi="Arial" w:cs="Arial"/>
          <w:b/>
          <w:color w:val="000000" w:themeColor="text1"/>
          <w:sz w:val="24"/>
          <w:szCs w:val="24"/>
        </w:rPr>
      </w:pPr>
      <w:r w:rsidRPr="00AF2AB5">
        <w:rPr>
          <w:rFonts w:ascii="Arial" w:hAnsi="Arial" w:cs="Arial"/>
          <w:b/>
          <w:color w:val="000000"/>
          <w:sz w:val="24"/>
          <w:szCs w:val="24"/>
        </w:rPr>
        <w:t xml:space="preserve">ALFREDO                                                                                 </w:t>
      </w:r>
      <w:r w:rsidR="003452A7">
        <w:rPr>
          <w:rFonts w:ascii="Arial" w:hAnsi="Arial" w:cs="Arial"/>
          <w:b/>
          <w:color w:val="000000"/>
          <w:sz w:val="24"/>
          <w:szCs w:val="24"/>
        </w:rPr>
        <w:t xml:space="preserve">                       EXP.- 2</w:t>
      </w:r>
      <w:r w:rsidR="00AF2AB5" w:rsidRPr="00AF2AB5">
        <w:rPr>
          <w:rFonts w:ascii="Arial" w:hAnsi="Arial" w:cs="Arial"/>
          <w:b/>
          <w:color w:val="000000"/>
          <w:sz w:val="24"/>
          <w:szCs w:val="24"/>
        </w:rPr>
        <w:t>6</w:t>
      </w:r>
      <w:r w:rsidR="00E01693">
        <w:rPr>
          <w:rFonts w:ascii="Arial" w:hAnsi="Arial" w:cs="Arial"/>
          <w:b/>
          <w:color w:val="000000"/>
          <w:sz w:val="24"/>
          <w:szCs w:val="24"/>
        </w:rPr>
        <w:t>7</w:t>
      </w:r>
      <w:r w:rsidR="006114C6" w:rsidRPr="00AF2AB5">
        <w:rPr>
          <w:rFonts w:ascii="Arial" w:hAnsi="Arial" w:cs="Arial"/>
          <w:b/>
          <w:color w:val="000000"/>
          <w:sz w:val="24"/>
          <w:szCs w:val="24"/>
        </w:rPr>
        <w:t>/</w:t>
      </w:r>
      <w:r w:rsidRPr="00AF2AB5">
        <w:rPr>
          <w:rFonts w:ascii="Arial" w:hAnsi="Arial" w:cs="Arial"/>
          <w:b/>
          <w:color w:val="000000"/>
          <w:sz w:val="24"/>
          <w:szCs w:val="24"/>
        </w:rPr>
        <w:t>2026</w:t>
      </w:r>
    </w:p>
    <w:sectPr w:rsidR="004A2667" w:rsidRPr="00AF2AB5" w:rsidSect="005040D0">
      <w:headerReference w:type="default" r:id="rId27"/>
      <w:footerReference w:type="default" r:id="rId28"/>
      <w:pgSz w:w="12240" w:h="15840" w:code="1"/>
      <w:pgMar w:top="1701" w:right="799" w:bottom="2268" w:left="771"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713A" w:rsidRDefault="0022713A" w:rsidP="005040D0">
      <w:pPr>
        <w:spacing w:after="0" w:line="240" w:lineRule="auto"/>
      </w:pPr>
      <w:r>
        <w:separator/>
      </w:r>
    </w:p>
  </w:endnote>
  <w:endnote w:type="continuationSeparator" w:id="1">
    <w:p w:rsidR="0022713A" w:rsidRDefault="0022713A" w:rsidP="005040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Times New Roman"/>
    <w:charset w:val="00"/>
    <w:family w:val="swiss"/>
    <w:pitch w:val="variable"/>
    <w:sig w:usb0="E10002FF" w:usb1="5000E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7DB" w:rsidRDefault="009F27DB">
    <w:pPr>
      <w:pStyle w:val="Piedepgina"/>
    </w:pPr>
    <w:r>
      <w:rPr>
        <w:noProof/>
      </w:rPr>
      <w:drawing>
        <wp:inline distT="0" distB="0" distL="0" distR="0">
          <wp:extent cx="7097064" cy="1022462"/>
          <wp:effectExtent l="19050" t="0" r="8586"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105320" cy="1023651"/>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713A" w:rsidRDefault="0022713A" w:rsidP="005040D0">
      <w:pPr>
        <w:spacing w:after="0" w:line="240" w:lineRule="auto"/>
      </w:pPr>
      <w:r>
        <w:separator/>
      </w:r>
    </w:p>
  </w:footnote>
  <w:footnote w:type="continuationSeparator" w:id="1">
    <w:p w:rsidR="0022713A" w:rsidRDefault="0022713A" w:rsidP="005040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7DB" w:rsidRPr="00C2643A" w:rsidRDefault="009F27DB" w:rsidP="003F6889">
    <w:pPr>
      <w:pStyle w:val="Encabezado"/>
      <w:jc w:val="center"/>
      <w:rPr>
        <w:rFonts w:ascii="Arial" w:hAnsi="Arial" w:cs="Arial"/>
        <w:b/>
        <w:color w:val="000000" w:themeColor="text1"/>
        <w:sz w:val="20"/>
        <w:szCs w:val="20"/>
        <w:lang w:val="en-US"/>
      </w:rPr>
    </w:pPr>
    <w:r>
      <w:rPr>
        <w:noProof/>
      </w:rPr>
      <w:drawing>
        <wp:inline distT="0" distB="0" distL="0" distR="0">
          <wp:extent cx="1754091" cy="707666"/>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52845" cy="707163"/>
                  </a:xfrm>
                  <a:prstGeom prst="rect">
                    <a:avLst/>
                  </a:prstGeom>
                  <a:noFill/>
                  <a:ln w="9525">
                    <a:noFill/>
                    <a:miter lim="800000"/>
                    <a:headEnd/>
                    <a:tailEnd/>
                  </a:ln>
                </pic:spPr>
              </pic:pic>
            </a:graphicData>
          </a:graphic>
        </wp:inline>
      </w:drawing>
    </w:r>
    <w:r w:rsidRPr="00C2643A">
      <w:rPr>
        <w:rFonts w:ascii="Arial" w:hAnsi="Arial" w:cs="Arial"/>
        <w:b/>
        <w:color w:val="000000" w:themeColor="text1"/>
        <w:sz w:val="20"/>
        <w:szCs w:val="20"/>
        <w:lang w:val="en-US"/>
      </w:rPr>
      <w:tab/>
      <w:t xml:space="preserve">               </w:t>
    </w:r>
  </w:p>
  <w:p w:rsidR="009F27DB" w:rsidRPr="00C55689" w:rsidRDefault="009F27DB" w:rsidP="003F6889">
    <w:pPr>
      <w:pStyle w:val="Encabezado"/>
      <w:jc w:val="right"/>
      <w:rPr>
        <w:rFonts w:ascii="Arial" w:hAnsi="Arial" w:cs="Arial"/>
        <w:b/>
        <w:color w:val="000000" w:themeColor="text1"/>
        <w:sz w:val="20"/>
        <w:szCs w:val="20"/>
        <w:lang w:val="en-US"/>
      </w:rPr>
    </w:pPr>
    <w:r w:rsidRPr="00C55689">
      <w:rPr>
        <w:rFonts w:ascii="Arial" w:hAnsi="Arial" w:cs="Arial"/>
        <w:b/>
        <w:color w:val="000000" w:themeColor="text1"/>
        <w:sz w:val="20"/>
        <w:szCs w:val="20"/>
        <w:lang w:val="en-US"/>
      </w:rPr>
      <w:t>UT/AI/</w:t>
    </w:r>
    <w:r>
      <w:rPr>
        <w:rFonts w:ascii="Arial" w:hAnsi="Arial" w:cs="Arial"/>
        <w:b/>
        <w:color w:val="000000" w:themeColor="text1"/>
        <w:sz w:val="20"/>
        <w:szCs w:val="20"/>
        <w:lang w:val="en-US"/>
      </w:rPr>
      <w:t>1668</w:t>
    </w:r>
    <w:r w:rsidRPr="00C55689">
      <w:rPr>
        <w:rFonts w:ascii="Arial" w:hAnsi="Arial" w:cs="Arial"/>
        <w:b/>
        <w:color w:val="000000" w:themeColor="text1"/>
        <w:sz w:val="20"/>
        <w:szCs w:val="20"/>
        <w:lang w:val="en-US"/>
      </w:rPr>
      <w:t>/2026</w:t>
    </w:r>
  </w:p>
  <w:p w:rsidR="009F27DB" w:rsidRPr="00C55689" w:rsidRDefault="009F27DB" w:rsidP="000A1602">
    <w:pPr>
      <w:pStyle w:val="Encabezado"/>
      <w:jc w:val="right"/>
      <w:rPr>
        <w:rFonts w:ascii="Arial" w:hAnsi="Arial" w:cs="Arial"/>
        <w:b/>
        <w:color w:val="000000" w:themeColor="text1"/>
        <w:sz w:val="20"/>
        <w:szCs w:val="20"/>
        <w:lang w:val="en-US"/>
      </w:rPr>
    </w:pPr>
    <w:r w:rsidRPr="00C55689">
      <w:rPr>
        <w:rFonts w:ascii="Arial" w:hAnsi="Arial" w:cs="Arial"/>
        <w:b/>
        <w:color w:val="000000" w:themeColor="text1"/>
        <w:sz w:val="20"/>
        <w:szCs w:val="20"/>
        <w:lang w:val="en-US"/>
      </w:rPr>
      <w:t>Of. 6</w:t>
    </w:r>
    <w:r>
      <w:rPr>
        <w:rFonts w:ascii="Arial" w:hAnsi="Arial" w:cs="Arial"/>
        <w:b/>
        <w:color w:val="000000" w:themeColor="text1"/>
        <w:sz w:val="20"/>
        <w:szCs w:val="20"/>
        <w:lang w:val="en-US"/>
      </w:rPr>
      <w:t>36</w:t>
    </w:r>
    <w:r w:rsidRPr="00C55689">
      <w:rPr>
        <w:rFonts w:ascii="Arial" w:hAnsi="Arial" w:cs="Arial"/>
        <w:b/>
        <w:color w:val="000000" w:themeColor="text1"/>
        <w:sz w:val="20"/>
        <w:szCs w:val="20"/>
        <w:lang w:val="en-US"/>
      </w:rPr>
      <w:t>/2026</w:t>
    </w:r>
  </w:p>
  <w:p w:rsidR="009F27DB" w:rsidRPr="00C55689" w:rsidRDefault="009F27DB" w:rsidP="000A1602">
    <w:pPr>
      <w:pStyle w:val="Encabezado"/>
      <w:jc w:val="right"/>
      <w:rPr>
        <w:rFonts w:ascii="Arial" w:hAnsi="Arial" w:cs="Arial"/>
        <w:b/>
        <w:color w:val="000000" w:themeColor="text1"/>
        <w:sz w:val="20"/>
        <w:szCs w:val="20"/>
        <w:lang w:val="en-US"/>
      </w:rPr>
    </w:pPr>
    <w:r>
      <w:rPr>
        <w:rFonts w:ascii="Arial" w:hAnsi="Arial" w:cs="Arial"/>
        <w:b/>
        <w:color w:val="000000" w:themeColor="text1"/>
        <w:sz w:val="20"/>
        <w:szCs w:val="20"/>
        <w:lang w:val="en-US"/>
      </w:rPr>
      <w:t>PNT 142042126001568</w:t>
    </w:r>
  </w:p>
  <w:p w:rsidR="009F27DB" w:rsidRPr="00C55689" w:rsidRDefault="009F27DB" w:rsidP="000A1602">
    <w:pPr>
      <w:pStyle w:val="Encabezado"/>
      <w:jc w:val="right"/>
      <w:rPr>
        <w:rFonts w:ascii="Arial" w:hAnsi="Arial" w:cs="Arial"/>
        <w:b/>
        <w:color w:val="000000" w:themeColor="text1"/>
        <w:sz w:val="20"/>
        <w:szCs w:val="20"/>
        <w:lang w:val="en-US"/>
      </w:rPr>
    </w:pPr>
    <w:r>
      <w:rPr>
        <w:rFonts w:ascii="Arial" w:hAnsi="Arial" w:cs="Arial"/>
        <w:b/>
        <w:color w:val="000000" w:themeColor="text1"/>
        <w:sz w:val="20"/>
        <w:szCs w:val="20"/>
        <w:lang w:val="en-US"/>
      </w:rPr>
      <w:t>FECHA: 30</w:t>
    </w:r>
    <w:r w:rsidRPr="00C55689">
      <w:rPr>
        <w:rFonts w:ascii="Arial" w:hAnsi="Arial" w:cs="Arial"/>
        <w:b/>
        <w:color w:val="000000" w:themeColor="text1"/>
        <w:sz w:val="20"/>
        <w:szCs w:val="20"/>
        <w:lang w:val="en-US"/>
      </w:rPr>
      <w:t>/03/2026</w:t>
    </w:r>
  </w:p>
  <w:p w:rsidR="009F27DB" w:rsidRPr="00AC65D7" w:rsidRDefault="009F27DB" w:rsidP="000A1602">
    <w:pPr>
      <w:pStyle w:val="Encabezado"/>
      <w:jc w:val="right"/>
      <w:rPr>
        <w:rFonts w:ascii="Arial" w:hAnsi="Arial" w:cs="Arial"/>
        <w:b/>
        <w:color w:val="000000" w:themeColor="text1"/>
        <w:sz w:val="20"/>
        <w:szCs w:val="20"/>
      </w:rPr>
    </w:pPr>
    <w:r w:rsidRPr="00AC65D7">
      <w:rPr>
        <w:rFonts w:ascii="Arial" w:hAnsi="Arial" w:cs="Arial"/>
        <w:b/>
        <w:color w:val="000000" w:themeColor="text1"/>
        <w:sz w:val="20"/>
        <w:szCs w:val="20"/>
      </w:rPr>
      <w:t>AFIRMATIVO PARCIAL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D1B71"/>
    <w:multiLevelType w:val="hybridMultilevel"/>
    <w:tmpl w:val="BEA692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0B0207"/>
    <w:multiLevelType w:val="hybridMultilevel"/>
    <w:tmpl w:val="B680D38A"/>
    <w:lvl w:ilvl="0" w:tplc="9DDC8012">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C15CCB"/>
    <w:multiLevelType w:val="hybridMultilevel"/>
    <w:tmpl w:val="3918B6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7362209"/>
    <w:multiLevelType w:val="hybridMultilevel"/>
    <w:tmpl w:val="EF9612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3B4114"/>
    <w:multiLevelType w:val="hybridMultilevel"/>
    <w:tmpl w:val="8F24E7CC"/>
    <w:lvl w:ilvl="0" w:tplc="CEE0FF02">
      <w:start w:val="1"/>
      <w:numFmt w:val="upperRoman"/>
      <w:lvlText w:val="%1."/>
      <w:lvlJc w:val="left"/>
      <w:pPr>
        <w:ind w:left="1140" w:hanging="72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5">
    <w:nsid w:val="185F36A8"/>
    <w:multiLevelType w:val="multilevel"/>
    <w:tmpl w:val="25C66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975E7"/>
    <w:multiLevelType w:val="hybridMultilevel"/>
    <w:tmpl w:val="8BB40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2E30B58"/>
    <w:multiLevelType w:val="hybridMultilevel"/>
    <w:tmpl w:val="9AF66678"/>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8">
    <w:nsid w:val="231A5FBF"/>
    <w:multiLevelType w:val="hybridMultilevel"/>
    <w:tmpl w:val="F050E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3E303B"/>
    <w:multiLevelType w:val="multilevel"/>
    <w:tmpl w:val="06B00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09554B"/>
    <w:multiLevelType w:val="multilevel"/>
    <w:tmpl w:val="A988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271A9D"/>
    <w:multiLevelType w:val="multilevel"/>
    <w:tmpl w:val="6BC03C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08306E"/>
    <w:multiLevelType w:val="hybridMultilevel"/>
    <w:tmpl w:val="C6D0AB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CE653A"/>
    <w:multiLevelType w:val="hybridMultilevel"/>
    <w:tmpl w:val="7AB6033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BD71958"/>
    <w:multiLevelType w:val="hybridMultilevel"/>
    <w:tmpl w:val="31B4397E"/>
    <w:lvl w:ilvl="0" w:tplc="CED09C92">
      <w:start w:val="25"/>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C335BC0"/>
    <w:multiLevelType w:val="hybridMultilevel"/>
    <w:tmpl w:val="579C743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nsid w:val="2E523A3D"/>
    <w:multiLevelType w:val="multilevel"/>
    <w:tmpl w:val="09848F4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
    <w:nsid w:val="35CC116D"/>
    <w:multiLevelType w:val="hybridMultilevel"/>
    <w:tmpl w:val="AF840E46"/>
    <w:lvl w:ilvl="0" w:tplc="998C3EA6">
      <w:start w:val="1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6807C4B"/>
    <w:multiLevelType w:val="hybridMultilevel"/>
    <w:tmpl w:val="E252FFB2"/>
    <w:lvl w:ilvl="0" w:tplc="D34479D8">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6FB798F"/>
    <w:multiLevelType w:val="hybridMultilevel"/>
    <w:tmpl w:val="DFB22D1A"/>
    <w:lvl w:ilvl="0" w:tplc="34DA16E0">
      <w:start w:val="1"/>
      <w:numFmt w:val="upperRoman"/>
      <w:lvlText w:val="%1."/>
      <w:lvlJc w:val="left"/>
      <w:pPr>
        <w:ind w:left="1110" w:hanging="720"/>
      </w:pPr>
      <w:rPr>
        <w:rFonts w:hint="default"/>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20">
    <w:nsid w:val="3B7A79CE"/>
    <w:multiLevelType w:val="hybridMultilevel"/>
    <w:tmpl w:val="7A8CA9F2"/>
    <w:lvl w:ilvl="0" w:tplc="6CA68B2C">
      <w:start w:val="12"/>
      <w:numFmt w:val="bullet"/>
      <w:lvlText w:val="-"/>
      <w:lvlJc w:val="left"/>
      <w:pPr>
        <w:ind w:left="810" w:hanging="360"/>
      </w:pPr>
      <w:rPr>
        <w:rFonts w:ascii="Arial" w:eastAsiaTheme="minorHAnsi" w:hAnsi="Arial" w:cs="Arial" w:hint="default"/>
      </w:rPr>
    </w:lvl>
    <w:lvl w:ilvl="1" w:tplc="080A0003" w:tentative="1">
      <w:start w:val="1"/>
      <w:numFmt w:val="bullet"/>
      <w:lvlText w:val="o"/>
      <w:lvlJc w:val="left"/>
      <w:pPr>
        <w:ind w:left="1530" w:hanging="360"/>
      </w:pPr>
      <w:rPr>
        <w:rFonts w:ascii="Courier New" w:hAnsi="Courier New" w:cs="Courier New" w:hint="default"/>
      </w:rPr>
    </w:lvl>
    <w:lvl w:ilvl="2" w:tplc="080A0005" w:tentative="1">
      <w:start w:val="1"/>
      <w:numFmt w:val="bullet"/>
      <w:lvlText w:val=""/>
      <w:lvlJc w:val="left"/>
      <w:pPr>
        <w:ind w:left="2250" w:hanging="360"/>
      </w:pPr>
      <w:rPr>
        <w:rFonts w:ascii="Wingdings" w:hAnsi="Wingdings" w:hint="default"/>
      </w:rPr>
    </w:lvl>
    <w:lvl w:ilvl="3" w:tplc="080A0001" w:tentative="1">
      <w:start w:val="1"/>
      <w:numFmt w:val="bullet"/>
      <w:lvlText w:val=""/>
      <w:lvlJc w:val="left"/>
      <w:pPr>
        <w:ind w:left="2970" w:hanging="360"/>
      </w:pPr>
      <w:rPr>
        <w:rFonts w:ascii="Symbol" w:hAnsi="Symbol" w:hint="default"/>
      </w:rPr>
    </w:lvl>
    <w:lvl w:ilvl="4" w:tplc="080A0003" w:tentative="1">
      <w:start w:val="1"/>
      <w:numFmt w:val="bullet"/>
      <w:lvlText w:val="o"/>
      <w:lvlJc w:val="left"/>
      <w:pPr>
        <w:ind w:left="3690" w:hanging="360"/>
      </w:pPr>
      <w:rPr>
        <w:rFonts w:ascii="Courier New" w:hAnsi="Courier New" w:cs="Courier New" w:hint="default"/>
      </w:rPr>
    </w:lvl>
    <w:lvl w:ilvl="5" w:tplc="080A0005" w:tentative="1">
      <w:start w:val="1"/>
      <w:numFmt w:val="bullet"/>
      <w:lvlText w:val=""/>
      <w:lvlJc w:val="left"/>
      <w:pPr>
        <w:ind w:left="4410" w:hanging="360"/>
      </w:pPr>
      <w:rPr>
        <w:rFonts w:ascii="Wingdings" w:hAnsi="Wingdings" w:hint="default"/>
      </w:rPr>
    </w:lvl>
    <w:lvl w:ilvl="6" w:tplc="080A0001" w:tentative="1">
      <w:start w:val="1"/>
      <w:numFmt w:val="bullet"/>
      <w:lvlText w:val=""/>
      <w:lvlJc w:val="left"/>
      <w:pPr>
        <w:ind w:left="5130" w:hanging="360"/>
      </w:pPr>
      <w:rPr>
        <w:rFonts w:ascii="Symbol" w:hAnsi="Symbol" w:hint="default"/>
      </w:rPr>
    </w:lvl>
    <w:lvl w:ilvl="7" w:tplc="080A0003" w:tentative="1">
      <w:start w:val="1"/>
      <w:numFmt w:val="bullet"/>
      <w:lvlText w:val="o"/>
      <w:lvlJc w:val="left"/>
      <w:pPr>
        <w:ind w:left="5850" w:hanging="360"/>
      </w:pPr>
      <w:rPr>
        <w:rFonts w:ascii="Courier New" w:hAnsi="Courier New" w:cs="Courier New" w:hint="default"/>
      </w:rPr>
    </w:lvl>
    <w:lvl w:ilvl="8" w:tplc="080A0005" w:tentative="1">
      <w:start w:val="1"/>
      <w:numFmt w:val="bullet"/>
      <w:lvlText w:val=""/>
      <w:lvlJc w:val="left"/>
      <w:pPr>
        <w:ind w:left="6570" w:hanging="360"/>
      </w:pPr>
      <w:rPr>
        <w:rFonts w:ascii="Wingdings" w:hAnsi="Wingdings" w:hint="default"/>
      </w:rPr>
    </w:lvl>
  </w:abstractNum>
  <w:abstractNum w:abstractNumId="21">
    <w:nsid w:val="407D47CE"/>
    <w:multiLevelType w:val="multilevel"/>
    <w:tmpl w:val="B5F6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E135C1"/>
    <w:multiLevelType w:val="hybridMultilevel"/>
    <w:tmpl w:val="666EF75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6782E3A"/>
    <w:multiLevelType w:val="hybridMultilevel"/>
    <w:tmpl w:val="38CC5C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7C633AE"/>
    <w:multiLevelType w:val="hybridMultilevel"/>
    <w:tmpl w:val="B4A23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0405B46"/>
    <w:multiLevelType w:val="hybridMultilevel"/>
    <w:tmpl w:val="CBE21478"/>
    <w:lvl w:ilvl="0" w:tplc="3F4A83B2">
      <w:start w:val="12"/>
      <w:numFmt w:val="bullet"/>
      <w:lvlText w:val=""/>
      <w:lvlJc w:val="left"/>
      <w:pPr>
        <w:ind w:left="810" w:hanging="360"/>
      </w:pPr>
      <w:rPr>
        <w:rFonts w:ascii="Symbol" w:eastAsiaTheme="minorHAnsi" w:hAnsi="Symbol" w:cs="Arial" w:hint="default"/>
      </w:rPr>
    </w:lvl>
    <w:lvl w:ilvl="1" w:tplc="080A0003" w:tentative="1">
      <w:start w:val="1"/>
      <w:numFmt w:val="bullet"/>
      <w:lvlText w:val="o"/>
      <w:lvlJc w:val="left"/>
      <w:pPr>
        <w:ind w:left="1530" w:hanging="360"/>
      </w:pPr>
      <w:rPr>
        <w:rFonts w:ascii="Courier New" w:hAnsi="Courier New" w:cs="Courier New" w:hint="default"/>
      </w:rPr>
    </w:lvl>
    <w:lvl w:ilvl="2" w:tplc="080A0005" w:tentative="1">
      <w:start w:val="1"/>
      <w:numFmt w:val="bullet"/>
      <w:lvlText w:val=""/>
      <w:lvlJc w:val="left"/>
      <w:pPr>
        <w:ind w:left="2250" w:hanging="360"/>
      </w:pPr>
      <w:rPr>
        <w:rFonts w:ascii="Wingdings" w:hAnsi="Wingdings" w:hint="default"/>
      </w:rPr>
    </w:lvl>
    <w:lvl w:ilvl="3" w:tplc="080A0001" w:tentative="1">
      <w:start w:val="1"/>
      <w:numFmt w:val="bullet"/>
      <w:lvlText w:val=""/>
      <w:lvlJc w:val="left"/>
      <w:pPr>
        <w:ind w:left="2970" w:hanging="360"/>
      </w:pPr>
      <w:rPr>
        <w:rFonts w:ascii="Symbol" w:hAnsi="Symbol" w:hint="default"/>
      </w:rPr>
    </w:lvl>
    <w:lvl w:ilvl="4" w:tplc="080A0003" w:tentative="1">
      <w:start w:val="1"/>
      <w:numFmt w:val="bullet"/>
      <w:lvlText w:val="o"/>
      <w:lvlJc w:val="left"/>
      <w:pPr>
        <w:ind w:left="3690" w:hanging="360"/>
      </w:pPr>
      <w:rPr>
        <w:rFonts w:ascii="Courier New" w:hAnsi="Courier New" w:cs="Courier New" w:hint="default"/>
      </w:rPr>
    </w:lvl>
    <w:lvl w:ilvl="5" w:tplc="080A0005" w:tentative="1">
      <w:start w:val="1"/>
      <w:numFmt w:val="bullet"/>
      <w:lvlText w:val=""/>
      <w:lvlJc w:val="left"/>
      <w:pPr>
        <w:ind w:left="4410" w:hanging="360"/>
      </w:pPr>
      <w:rPr>
        <w:rFonts w:ascii="Wingdings" w:hAnsi="Wingdings" w:hint="default"/>
      </w:rPr>
    </w:lvl>
    <w:lvl w:ilvl="6" w:tplc="080A0001" w:tentative="1">
      <w:start w:val="1"/>
      <w:numFmt w:val="bullet"/>
      <w:lvlText w:val=""/>
      <w:lvlJc w:val="left"/>
      <w:pPr>
        <w:ind w:left="5130" w:hanging="360"/>
      </w:pPr>
      <w:rPr>
        <w:rFonts w:ascii="Symbol" w:hAnsi="Symbol" w:hint="default"/>
      </w:rPr>
    </w:lvl>
    <w:lvl w:ilvl="7" w:tplc="080A0003" w:tentative="1">
      <w:start w:val="1"/>
      <w:numFmt w:val="bullet"/>
      <w:lvlText w:val="o"/>
      <w:lvlJc w:val="left"/>
      <w:pPr>
        <w:ind w:left="5850" w:hanging="360"/>
      </w:pPr>
      <w:rPr>
        <w:rFonts w:ascii="Courier New" w:hAnsi="Courier New" w:cs="Courier New" w:hint="default"/>
      </w:rPr>
    </w:lvl>
    <w:lvl w:ilvl="8" w:tplc="080A0005" w:tentative="1">
      <w:start w:val="1"/>
      <w:numFmt w:val="bullet"/>
      <w:lvlText w:val=""/>
      <w:lvlJc w:val="left"/>
      <w:pPr>
        <w:ind w:left="6570" w:hanging="360"/>
      </w:pPr>
      <w:rPr>
        <w:rFonts w:ascii="Wingdings" w:hAnsi="Wingdings" w:hint="default"/>
      </w:rPr>
    </w:lvl>
  </w:abstractNum>
  <w:abstractNum w:abstractNumId="26">
    <w:nsid w:val="507C76BD"/>
    <w:multiLevelType w:val="hybridMultilevel"/>
    <w:tmpl w:val="825A2F84"/>
    <w:lvl w:ilvl="0" w:tplc="9558EA20">
      <w:start w:val="25"/>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DDF6F8F"/>
    <w:multiLevelType w:val="multilevel"/>
    <w:tmpl w:val="4434DD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E7E52FD"/>
    <w:multiLevelType w:val="hybridMultilevel"/>
    <w:tmpl w:val="86AAC1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09874C6"/>
    <w:multiLevelType w:val="hybridMultilevel"/>
    <w:tmpl w:val="FBF209A8"/>
    <w:lvl w:ilvl="0" w:tplc="F222C73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1E96C73"/>
    <w:multiLevelType w:val="hybridMultilevel"/>
    <w:tmpl w:val="FD24D8B6"/>
    <w:lvl w:ilvl="0" w:tplc="F4702288">
      <w:start w:val="12"/>
      <w:numFmt w:val="bullet"/>
      <w:lvlText w:val="-"/>
      <w:lvlJc w:val="left"/>
      <w:pPr>
        <w:ind w:left="765" w:hanging="360"/>
      </w:pPr>
      <w:rPr>
        <w:rFonts w:ascii="Arial" w:eastAsiaTheme="minorHAnsi" w:hAnsi="Arial" w:cs="Aria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31">
    <w:nsid w:val="660A6609"/>
    <w:multiLevelType w:val="hybridMultilevel"/>
    <w:tmpl w:val="C4A6B73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nsid w:val="719E7C0E"/>
    <w:multiLevelType w:val="hybridMultilevel"/>
    <w:tmpl w:val="D8747ED2"/>
    <w:lvl w:ilvl="0" w:tplc="03FE9176">
      <w:start w:val="12"/>
      <w:numFmt w:val="bullet"/>
      <w:lvlText w:val="-"/>
      <w:lvlJc w:val="left"/>
      <w:pPr>
        <w:ind w:left="405" w:hanging="360"/>
      </w:pPr>
      <w:rPr>
        <w:rFonts w:ascii="Arial" w:eastAsiaTheme="minorHAnsi" w:hAnsi="Arial" w:cs="Arial"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abstractNum w:abstractNumId="33">
    <w:nsid w:val="72CE21D7"/>
    <w:multiLevelType w:val="hybridMultilevel"/>
    <w:tmpl w:val="D05296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2FE3FBC"/>
    <w:multiLevelType w:val="hybridMultilevel"/>
    <w:tmpl w:val="6422CB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316714E"/>
    <w:multiLevelType w:val="hybridMultilevel"/>
    <w:tmpl w:val="EF7E77B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76614024"/>
    <w:multiLevelType w:val="hybridMultilevel"/>
    <w:tmpl w:val="683AEE72"/>
    <w:lvl w:ilvl="0" w:tplc="4E36BD66">
      <w:start w:val="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ACA6EA7"/>
    <w:multiLevelType w:val="hybridMultilevel"/>
    <w:tmpl w:val="1860644C"/>
    <w:lvl w:ilvl="0" w:tplc="BBDC9B60">
      <w:numFmt w:val="bullet"/>
      <w:lvlText w:val="-"/>
      <w:lvlJc w:val="left"/>
      <w:pPr>
        <w:ind w:left="1068" w:hanging="360"/>
      </w:pPr>
      <w:rPr>
        <w:rFonts w:ascii="Arial" w:eastAsiaTheme="minorEastAsia" w:hAnsi="Arial" w:cs="Arial" w:hint="default"/>
        <w:b/>
        <w:color w:val="000000" w:themeColor="text1"/>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8">
    <w:nsid w:val="7B1946E5"/>
    <w:multiLevelType w:val="multilevel"/>
    <w:tmpl w:val="E1AC1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7"/>
  </w:num>
  <w:num w:numId="3">
    <w:abstractNumId w:val="6"/>
  </w:num>
  <w:num w:numId="4">
    <w:abstractNumId w:val="35"/>
  </w:num>
  <w:num w:numId="5">
    <w:abstractNumId w:val="15"/>
  </w:num>
  <w:num w:numId="6">
    <w:abstractNumId w:val="33"/>
  </w:num>
  <w:num w:numId="7">
    <w:abstractNumId w:val="24"/>
  </w:num>
  <w:num w:numId="8">
    <w:abstractNumId w:val="31"/>
  </w:num>
  <w:num w:numId="9">
    <w:abstractNumId w:val="37"/>
  </w:num>
  <w:num w:numId="10">
    <w:abstractNumId w:val="18"/>
  </w:num>
  <w:num w:numId="11">
    <w:abstractNumId w:val="8"/>
  </w:num>
  <w:num w:numId="12">
    <w:abstractNumId w:val="28"/>
  </w:num>
  <w:num w:numId="13">
    <w:abstractNumId w:val="17"/>
  </w:num>
  <w:num w:numId="14">
    <w:abstractNumId w:val="1"/>
  </w:num>
  <w:num w:numId="15">
    <w:abstractNumId w:val="2"/>
  </w:num>
  <w:num w:numId="16">
    <w:abstractNumId w:val="22"/>
  </w:num>
  <w:num w:numId="17">
    <w:abstractNumId w:val="29"/>
  </w:num>
  <w:num w:numId="18">
    <w:abstractNumId w:val="23"/>
  </w:num>
  <w:num w:numId="19">
    <w:abstractNumId w:val="16"/>
  </w:num>
  <w:num w:numId="20">
    <w:abstractNumId w:val="12"/>
  </w:num>
  <w:num w:numId="21">
    <w:abstractNumId w:val="3"/>
  </w:num>
  <w:num w:numId="22">
    <w:abstractNumId w:val="0"/>
  </w:num>
  <w:num w:numId="23">
    <w:abstractNumId w:val="4"/>
  </w:num>
  <w:num w:numId="24">
    <w:abstractNumId w:val="19"/>
  </w:num>
  <w:num w:numId="25">
    <w:abstractNumId w:val="36"/>
  </w:num>
  <w:num w:numId="26">
    <w:abstractNumId w:val="26"/>
  </w:num>
  <w:num w:numId="27">
    <w:abstractNumId w:val="14"/>
  </w:num>
  <w:num w:numId="28">
    <w:abstractNumId w:val="38"/>
  </w:num>
  <w:num w:numId="29">
    <w:abstractNumId w:val="27"/>
    <w:lvlOverride w:ilvl="0">
      <w:lvl w:ilvl="0">
        <w:numFmt w:val="decimal"/>
        <w:lvlText w:val="%1."/>
        <w:lvlJc w:val="left"/>
      </w:lvl>
    </w:lvlOverride>
  </w:num>
  <w:num w:numId="30">
    <w:abstractNumId w:val="10"/>
  </w:num>
  <w:num w:numId="31">
    <w:abstractNumId w:val="5"/>
  </w:num>
  <w:num w:numId="32">
    <w:abstractNumId w:val="11"/>
    <w:lvlOverride w:ilvl="0">
      <w:lvl w:ilvl="0">
        <w:numFmt w:val="decimal"/>
        <w:lvlText w:val="%1."/>
        <w:lvlJc w:val="left"/>
      </w:lvl>
    </w:lvlOverride>
  </w:num>
  <w:num w:numId="3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21"/>
  </w:num>
  <w:num w:numId="36">
    <w:abstractNumId w:val="13"/>
  </w:num>
  <w:num w:numId="37">
    <w:abstractNumId w:val="32"/>
  </w:num>
  <w:num w:numId="38">
    <w:abstractNumId w:val="30"/>
  </w:num>
  <w:num w:numId="39">
    <w:abstractNumId w:val="20"/>
  </w:num>
  <w:num w:numId="4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gutterAtTop/>
  <w:defaultTabStop w:val="708"/>
  <w:hyphenationZone w:val="425"/>
  <w:drawingGridHorizontalSpacing w:val="110"/>
  <w:displayHorizontalDrawingGridEvery w:val="2"/>
  <w:displayVerticalDrawingGridEvery w:val="2"/>
  <w:characterSpacingControl w:val="doNotCompress"/>
  <w:hdrShapeDefaults>
    <o:shapedefaults v:ext="edit" spidmax="109570"/>
  </w:hdrShapeDefaults>
  <w:footnotePr>
    <w:footnote w:id="0"/>
    <w:footnote w:id="1"/>
  </w:footnotePr>
  <w:endnotePr>
    <w:endnote w:id="0"/>
    <w:endnote w:id="1"/>
  </w:endnotePr>
  <w:compat/>
  <w:rsids>
    <w:rsidRoot w:val="001A0B8C"/>
    <w:rsid w:val="00002AA8"/>
    <w:rsid w:val="000103B9"/>
    <w:rsid w:val="000140BC"/>
    <w:rsid w:val="000261CB"/>
    <w:rsid w:val="0003211C"/>
    <w:rsid w:val="00036F3D"/>
    <w:rsid w:val="00045E2A"/>
    <w:rsid w:val="00046137"/>
    <w:rsid w:val="00055983"/>
    <w:rsid w:val="00086D4A"/>
    <w:rsid w:val="0009380E"/>
    <w:rsid w:val="00096C21"/>
    <w:rsid w:val="000A1602"/>
    <w:rsid w:val="000A2052"/>
    <w:rsid w:val="000A57B4"/>
    <w:rsid w:val="000B33B7"/>
    <w:rsid w:val="000C43C4"/>
    <w:rsid w:val="000C5078"/>
    <w:rsid w:val="000C7D73"/>
    <w:rsid w:val="000D450A"/>
    <w:rsid w:val="000E0A2A"/>
    <w:rsid w:val="000F3439"/>
    <w:rsid w:val="000F509B"/>
    <w:rsid w:val="000F6950"/>
    <w:rsid w:val="0013194B"/>
    <w:rsid w:val="00143F59"/>
    <w:rsid w:val="00152EA4"/>
    <w:rsid w:val="0016207F"/>
    <w:rsid w:val="001A0539"/>
    <w:rsid w:val="001A0B8C"/>
    <w:rsid w:val="001A47BC"/>
    <w:rsid w:val="001B6184"/>
    <w:rsid w:val="001C0A53"/>
    <w:rsid w:val="001D4E89"/>
    <w:rsid w:val="001E4E3F"/>
    <w:rsid w:val="001F15DC"/>
    <w:rsid w:val="001F61A0"/>
    <w:rsid w:val="002001D3"/>
    <w:rsid w:val="0022713A"/>
    <w:rsid w:val="002539D0"/>
    <w:rsid w:val="00254033"/>
    <w:rsid w:val="00264B44"/>
    <w:rsid w:val="00280FDF"/>
    <w:rsid w:val="0029497C"/>
    <w:rsid w:val="002B1BC5"/>
    <w:rsid w:val="002C0472"/>
    <w:rsid w:val="002D25A3"/>
    <w:rsid w:val="002D45B3"/>
    <w:rsid w:val="002D4C84"/>
    <w:rsid w:val="002D62AA"/>
    <w:rsid w:val="003070AA"/>
    <w:rsid w:val="003155BD"/>
    <w:rsid w:val="00323241"/>
    <w:rsid w:val="00331F0F"/>
    <w:rsid w:val="003330C2"/>
    <w:rsid w:val="00334794"/>
    <w:rsid w:val="003452A7"/>
    <w:rsid w:val="003511B3"/>
    <w:rsid w:val="003642AA"/>
    <w:rsid w:val="0037102B"/>
    <w:rsid w:val="00377AE0"/>
    <w:rsid w:val="003A4397"/>
    <w:rsid w:val="003B2CEB"/>
    <w:rsid w:val="003B396D"/>
    <w:rsid w:val="003C3D80"/>
    <w:rsid w:val="003F6889"/>
    <w:rsid w:val="00403569"/>
    <w:rsid w:val="0042547D"/>
    <w:rsid w:val="00426360"/>
    <w:rsid w:val="00451469"/>
    <w:rsid w:val="00454189"/>
    <w:rsid w:val="0047357E"/>
    <w:rsid w:val="00477A9C"/>
    <w:rsid w:val="00484502"/>
    <w:rsid w:val="004A2667"/>
    <w:rsid w:val="004A284F"/>
    <w:rsid w:val="004B4258"/>
    <w:rsid w:val="004C2172"/>
    <w:rsid w:val="004C73DE"/>
    <w:rsid w:val="004E3827"/>
    <w:rsid w:val="004E50F3"/>
    <w:rsid w:val="004E7511"/>
    <w:rsid w:val="004F2788"/>
    <w:rsid w:val="00500F7E"/>
    <w:rsid w:val="005040D0"/>
    <w:rsid w:val="00506A33"/>
    <w:rsid w:val="00521CB3"/>
    <w:rsid w:val="00556A7D"/>
    <w:rsid w:val="00574703"/>
    <w:rsid w:val="00584F0C"/>
    <w:rsid w:val="00595092"/>
    <w:rsid w:val="005B2F73"/>
    <w:rsid w:val="005B4047"/>
    <w:rsid w:val="00606053"/>
    <w:rsid w:val="006114C6"/>
    <w:rsid w:val="0062025A"/>
    <w:rsid w:val="0062175C"/>
    <w:rsid w:val="00681EA6"/>
    <w:rsid w:val="00684259"/>
    <w:rsid w:val="006859B6"/>
    <w:rsid w:val="00696930"/>
    <w:rsid w:val="006A07A8"/>
    <w:rsid w:val="006A5194"/>
    <w:rsid w:val="006B4065"/>
    <w:rsid w:val="006B699E"/>
    <w:rsid w:val="006D5383"/>
    <w:rsid w:val="006E4E70"/>
    <w:rsid w:val="006F0684"/>
    <w:rsid w:val="00711651"/>
    <w:rsid w:val="00722072"/>
    <w:rsid w:val="00724C69"/>
    <w:rsid w:val="0073021E"/>
    <w:rsid w:val="00737DDF"/>
    <w:rsid w:val="00741A32"/>
    <w:rsid w:val="00745178"/>
    <w:rsid w:val="00761BF1"/>
    <w:rsid w:val="00772C9A"/>
    <w:rsid w:val="007969EF"/>
    <w:rsid w:val="007C5FFE"/>
    <w:rsid w:val="007F02FB"/>
    <w:rsid w:val="007F6B19"/>
    <w:rsid w:val="0080287B"/>
    <w:rsid w:val="00814571"/>
    <w:rsid w:val="00821871"/>
    <w:rsid w:val="0083081B"/>
    <w:rsid w:val="00836455"/>
    <w:rsid w:val="0084003B"/>
    <w:rsid w:val="00841B71"/>
    <w:rsid w:val="00884CAC"/>
    <w:rsid w:val="008A1497"/>
    <w:rsid w:val="008A5C57"/>
    <w:rsid w:val="008A6780"/>
    <w:rsid w:val="008A6D3E"/>
    <w:rsid w:val="008E6D11"/>
    <w:rsid w:val="00907DD2"/>
    <w:rsid w:val="00910F13"/>
    <w:rsid w:val="009134FC"/>
    <w:rsid w:val="00927D97"/>
    <w:rsid w:val="0093425B"/>
    <w:rsid w:val="00991483"/>
    <w:rsid w:val="009922E8"/>
    <w:rsid w:val="009A196F"/>
    <w:rsid w:val="009B11AA"/>
    <w:rsid w:val="009B6245"/>
    <w:rsid w:val="009C17A0"/>
    <w:rsid w:val="009C2E8B"/>
    <w:rsid w:val="009C6588"/>
    <w:rsid w:val="009F27DB"/>
    <w:rsid w:val="00A01588"/>
    <w:rsid w:val="00A0601B"/>
    <w:rsid w:val="00A072A9"/>
    <w:rsid w:val="00A14D0C"/>
    <w:rsid w:val="00A2124D"/>
    <w:rsid w:val="00A3628D"/>
    <w:rsid w:val="00A37160"/>
    <w:rsid w:val="00A604EE"/>
    <w:rsid w:val="00A64C39"/>
    <w:rsid w:val="00A90995"/>
    <w:rsid w:val="00AC4768"/>
    <w:rsid w:val="00AC65D7"/>
    <w:rsid w:val="00AD4B00"/>
    <w:rsid w:val="00AD6046"/>
    <w:rsid w:val="00AD6922"/>
    <w:rsid w:val="00AF0307"/>
    <w:rsid w:val="00AF2AB5"/>
    <w:rsid w:val="00B03937"/>
    <w:rsid w:val="00B10D3B"/>
    <w:rsid w:val="00B156C6"/>
    <w:rsid w:val="00B3415E"/>
    <w:rsid w:val="00B44114"/>
    <w:rsid w:val="00B62E56"/>
    <w:rsid w:val="00B7503C"/>
    <w:rsid w:val="00BA4BAA"/>
    <w:rsid w:val="00BB5534"/>
    <w:rsid w:val="00BB6C73"/>
    <w:rsid w:val="00BC18F5"/>
    <w:rsid w:val="00BC2A8E"/>
    <w:rsid w:val="00BC5C66"/>
    <w:rsid w:val="00BD0ED3"/>
    <w:rsid w:val="00BD22C9"/>
    <w:rsid w:val="00BD295E"/>
    <w:rsid w:val="00BD34FA"/>
    <w:rsid w:val="00C12A3B"/>
    <w:rsid w:val="00C2643A"/>
    <w:rsid w:val="00C32A29"/>
    <w:rsid w:val="00C42004"/>
    <w:rsid w:val="00C55689"/>
    <w:rsid w:val="00C5701C"/>
    <w:rsid w:val="00C62766"/>
    <w:rsid w:val="00C71E7E"/>
    <w:rsid w:val="00C73330"/>
    <w:rsid w:val="00C76F2B"/>
    <w:rsid w:val="00CA3E5C"/>
    <w:rsid w:val="00CA3F01"/>
    <w:rsid w:val="00CB39AF"/>
    <w:rsid w:val="00CC3702"/>
    <w:rsid w:val="00CC481D"/>
    <w:rsid w:val="00CC6853"/>
    <w:rsid w:val="00CE5DA9"/>
    <w:rsid w:val="00D25833"/>
    <w:rsid w:val="00D46927"/>
    <w:rsid w:val="00D55C94"/>
    <w:rsid w:val="00D66202"/>
    <w:rsid w:val="00D84A62"/>
    <w:rsid w:val="00D90ABF"/>
    <w:rsid w:val="00D91954"/>
    <w:rsid w:val="00DA0855"/>
    <w:rsid w:val="00DA1128"/>
    <w:rsid w:val="00DB41A5"/>
    <w:rsid w:val="00DE1988"/>
    <w:rsid w:val="00E01693"/>
    <w:rsid w:val="00E05B5B"/>
    <w:rsid w:val="00E069BF"/>
    <w:rsid w:val="00E140E6"/>
    <w:rsid w:val="00E27ABB"/>
    <w:rsid w:val="00E41D14"/>
    <w:rsid w:val="00E50EAB"/>
    <w:rsid w:val="00E52990"/>
    <w:rsid w:val="00E672E3"/>
    <w:rsid w:val="00E70DB8"/>
    <w:rsid w:val="00E737B9"/>
    <w:rsid w:val="00E76DF4"/>
    <w:rsid w:val="00E77AE9"/>
    <w:rsid w:val="00E8710F"/>
    <w:rsid w:val="00E95153"/>
    <w:rsid w:val="00EB25BD"/>
    <w:rsid w:val="00EB5F9D"/>
    <w:rsid w:val="00ED345A"/>
    <w:rsid w:val="00F20542"/>
    <w:rsid w:val="00F41A5A"/>
    <w:rsid w:val="00F47CFF"/>
    <w:rsid w:val="00F550B8"/>
    <w:rsid w:val="00F64BE4"/>
    <w:rsid w:val="00F71B42"/>
    <w:rsid w:val="00F75A43"/>
    <w:rsid w:val="00FA1FAD"/>
    <w:rsid w:val="00FA659E"/>
    <w:rsid w:val="00FB7206"/>
    <w:rsid w:val="00FC1F88"/>
    <w:rsid w:val="00FC79D7"/>
    <w:rsid w:val="00FF6DA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95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F13"/>
    <w:rPr>
      <w:rFonts w:ascii="Calibri" w:eastAsia="Times New Roman" w:hAnsi="Calibri" w:cs="Times New Roman"/>
      <w:lang w:eastAsia="es-MX"/>
    </w:rPr>
  </w:style>
  <w:style w:type="paragraph" w:styleId="Ttulo2">
    <w:name w:val="heading 2"/>
    <w:basedOn w:val="Normal"/>
    <w:next w:val="Normal"/>
    <w:link w:val="Ttulo2Car"/>
    <w:uiPriority w:val="9"/>
    <w:unhideWhenUsed/>
    <w:qFormat/>
    <w:rsid w:val="00841B71"/>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41B71"/>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1A0B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B8C"/>
    <w:rPr>
      <w:rFonts w:ascii="Tahoma" w:hAnsi="Tahoma" w:cs="Tahoma"/>
      <w:sz w:val="16"/>
      <w:szCs w:val="16"/>
    </w:rPr>
  </w:style>
  <w:style w:type="paragraph" w:styleId="Encabezado">
    <w:name w:val="header"/>
    <w:basedOn w:val="Normal"/>
    <w:link w:val="EncabezadoCar"/>
    <w:uiPriority w:val="99"/>
    <w:unhideWhenUsed/>
    <w:rsid w:val="005040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40D0"/>
    <w:rPr>
      <w:rFonts w:ascii="Calibri" w:eastAsia="Times New Roman" w:hAnsi="Calibri" w:cs="Times New Roman"/>
      <w:lang w:eastAsia="es-MX"/>
    </w:rPr>
  </w:style>
  <w:style w:type="paragraph" w:styleId="Piedepgina">
    <w:name w:val="footer"/>
    <w:basedOn w:val="Normal"/>
    <w:link w:val="PiedepginaCar"/>
    <w:uiPriority w:val="99"/>
    <w:unhideWhenUsed/>
    <w:rsid w:val="005040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40D0"/>
    <w:rPr>
      <w:rFonts w:ascii="Calibri" w:eastAsia="Times New Roman" w:hAnsi="Calibri" w:cs="Times New Roman"/>
      <w:lang w:eastAsia="es-MX"/>
    </w:rPr>
  </w:style>
  <w:style w:type="paragraph" w:styleId="Prrafodelista">
    <w:name w:val="List Paragraph"/>
    <w:basedOn w:val="Normal"/>
    <w:uiPriority w:val="1"/>
    <w:qFormat/>
    <w:rsid w:val="000A1602"/>
    <w:pPr>
      <w:ind w:left="720"/>
      <w:contextualSpacing/>
    </w:pPr>
    <w:rPr>
      <w:rFonts w:asciiTheme="minorHAnsi" w:eastAsiaTheme="minorEastAsia" w:hAnsiTheme="minorHAnsi" w:cstheme="minorBidi"/>
      <w:lang w:eastAsia="zh-TW"/>
    </w:rPr>
  </w:style>
  <w:style w:type="character" w:styleId="Hipervnculo">
    <w:name w:val="Hyperlink"/>
    <w:basedOn w:val="Fuentedeprrafopredeter"/>
    <w:uiPriority w:val="99"/>
    <w:unhideWhenUsed/>
    <w:rsid w:val="000A1602"/>
    <w:rPr>
      <w:color w:val="0000FF" w:themeColor="hyperlink"/>
      <w:u w:val="single"/>
    </w:rPr>
  </w:style>
  <w:style w:type="table" w:styleId="Tablaconcuadrcula">
    <w:name w:val="Table Grid"/>
    <w:basedOn w:val="Tablanormal"/>
    <w:uiPriority w:val="59"/>
    <w:rsid w:val="00E140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BB6C73"/>
    <w:pPr>
      <w:spacing w:after="0" w:line="240" w:lineRule="auto"/>
    </w:pPr>
  </w:style>
  <w:style w:type="paragraph" w:styleId="Ttulo">
    <w:name w:val="Title"/>
    <w:basedOn w:val="Normal"/>
    <w:next w:val="Normal"/>
    <w:link w:val="TtuloCar"/>
    <w:uiPriority w:val="10"/>
    <w:qFormat/>
    <w:rsid w:val="003511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zh-TW"/>
    </w:rPr>
  </w:style>
  <w:style w:type="character" w:customStyle="1" w:styleId="TtuloCar">
    <w:name w:val="Título Car"/>
    <w:basedOn w:val="Fuentedeprrafopredeter"/>
    <w:link w:val="Ttulo"/>
    <w:uiPriority w:val="10"/>
    <w:rsid w:val="003511B3"/>
    <w:rPr>
      <w:rFonts w:asciiTheme="majorHAnsi" w:eastAsiaTheme="majorEastAsia" w:hAnsiTheme="majorHAnsi" w:cstheme="majorBidi"/>
      <w:color w:val="17365D" w:themeColor="text2" w:themeShade="BF"/>
      <w:spacing w:val="5"/>
      <w:kern w:val="28"/>
      <w:sz w:val="52"/>
      <w:szCs w:val="52"/>
      <w:lang w:eastAsia="zh-TW"/>
    </w:rPr>
  </w:style>
  <w:style w:type="paragraph" w:customStyle="1" w:styleId="Estilo">
    <w:name w:val="Estilo"/>
    <w:basedOn w:val="Normal"/>
    <w:link w:val="EstiloCar"/>
    <w:rsid w:val="003F6889"/>
    <w:pPr>
      <w:spacing w:after="0" w:line="240" w:lineRule="auto"/>
      <w:jc w:val="both"/>
    </w:pPr>
    <w:rPr>
      <w:rFonts w:ascii="Arial" w:eastAsia="Calibri" w:hAnsi="Arial" w:cs="Arial"/>
      <w:sz w:val="24"/>
      <w:szCs w:val="24"/>
      <w:lang w:eastAsia="en-US"/>
    </w:rPr>
  </w:style>
  <w:style w:type="character" w:customStyle="1" w:styleId="EstiloCar">
    <w:name w:val="Estilo Car"/>
    <w:link w:val="Estilo"/>
    <w:locked/>
    <w:rsid w:val="003F6889"/>
    <w:rPr>
      <w:rFonts w:ascii="Arial" w:eastAsia="Calibri" w:hAnsi="Arial" w:cs="Arial"/>
      <w:sz w:val="24"/>
      <w:szCs w:val="24"/>
    </w:rPr>
  </w:style>
  <w:style w:type="character" w:styleId="Textoennegrita">
    <w:name w:val="Strong"/>
    <w:basedOn w:val="Fuentedeprrafopredeter"/>
    <w:uiPriority w:val="22"/>
    <w:qFormat/>
    <w:rsid w:val="00841B71"/>
    <w:rPr>
      <w:b/>
      <w:bCs/>
    </w:rPr>
  </w:style>
  <w:style w:type="character" w:styleId="nfasis">
    <w:name w:val="Emphasis"/>
    <w:basedOn w:val="Fuentedeprrafopredeter"/>
    <w:uiPriority w:val="20"/>
    <w:qFormat/>
    <w:rsid w:val="00841B71"/>
    <w:rPr>
      <w:i/>
      <w:iCs/>
    </w:rPr>
  </w:style>
  <w:style w:type="paragraph" w:customStyle="1" w:styleId="Normal1">
    <w:name w:val="Normal1"/>
    <w:rsid w:val="00E01693"/>
    <w:pPr>
      <w:spacing w:after="160" w:line="259" w:lineRule="auto"/>
    </w:pPr>
    <w:rPr>
      <w:rFonts w:ascii="Calibri" w:eastAsia="Calibri" w:hAnsi="Calibri" w:cs="Calibri"/>
      <w:lang w:eastAsia="es-MX"/>
    </w:rPr>
  </w:style>
  <w:style w:type="paragraph" w:customStyle="1" w:styleId="font5">
    <w:name w:val="font5"/>
    <w:basedOn w:val="Normal"/>
    <w:rsid w:val="00E01693"/>
    <w:pPr>
      <w:spacing w:before="100" w:beforeAutospacing="1" w:after="100" w:afterAutospacing="1" w:line="240" w:lineRule="auto"/>
    </w:pPr>
    <w:rPr>
      <w:rFonts w:ascii="Arial" w:hAnsi="Arial" w:cs="Arial"/>
      <w:b/>
      <w:bCs/>
      <w:color w:val="FFFFFF"/>
      <w:sz w:val="8"/>
      <w:szCs w:val="8"/>
    </w:rPr>
  </w:style>
  <w:style w:type="paragraph" w:customStyle="1" w:styleId="font6">
    <w:name w:val="font6"/>
    <w:basedOn w:val="Normal"/>
    <w:rsid w:val="00E01693"/>
    <w:pPr>
      <w:spacing w:before="100" w:beforeAutospacing="1" w:after="100" w:afterAutospacing="1" w:line="240" w:lineRule="auto"/>
    </w:pPr>
    <w:rPr>
      <w:rFonts w:ascii="Arial" w:hAnsi="Arial" w:cs="Arial"/>
      <w:b/>
      <w:bCs/>
      <w:sz w:val="8"/>
      <w:szCs w:val="8"/>
    </w:rPr>
  </w:style>
  <w:style w:type="paragraph" w:customStyle="1" w:styleId="font7">
    <w:name w:val="font7"/>
    <w:basedOn w:val="Normal"/>
    <w:rsid w:val="00E01693"/>
    <w:pPr>
      <w:spacing w:before="100" w:beforeAutospacing="1" w:after="100" w:afterAutospacing="1" w:line="240" w:lineRule="auto"/>
    </w:pPr>
    <w:rPr>
      <w:rFonts w:ascii="Arial" w:hAnsi="Arial" w:cs="Arial"/>
      <w:sz w:val="8"/>
      <w:szCs w:val="8"/>
    </w:rPr>
  </w:style>
  <w:style w:type="paragraph" w:customStyle="1" w:styleId="xl63">
    <w:name w:val="xl63"/>
    <w:basedOn w:val="Normal"/>
    <w:rsid w:val="00E01693"/>
    <w:pPr>
      <w:pBdr>
        <w:top w:val="single" w:sz="4" w:space="0" w:color="808080"/>
        <w:left w:val="single" w:sz="4" w:space="5" w:color="808080"/>
        <w:bottom w:val="single" w:sz="4" w:space="0" w:color="808080"/>
        <w:right w:val="single" w:sz="4" w:space="0" w:color="808080"/>
      </w:pBdr>
      <w:shd w:val="clear" w:color="000000" w:fill="A5A5A5"/>
      <w:spacing w:before="100" w:beforeAutospacing="1" w:after="100" w:afterAutospacing="1" w:line="240" w:lineRule="auto"/>
      <w:ind w:firstLineChars="100" w:firstLine="100"/>
    </w:pPr>
    <w:rPr>
      <w:rFonts w:ascii="Carlito" w:hAnsi="Carlito"/>
      <w:b/>
      <w:bCs/>
      <w:sz w:val="8"/>
      <w:szCs w:val="8"/>
    </w:rPr>
  </w:style>
  <w:style w:type="paragraph" w:customStyle="1" w:styleId="xl64">
    <w:name w:val="xl64"/>
    <w:basedOn w:val="Normal"/>
    <w:rsid w:val="00E01693"/>
    <w:pPr>
      <w:pBdr>
        <w:top w:val="single" w:sz="4" w:space="0" w:color="808080"/>
        <w:left w:val="single" w:sz="4" w:space="0" w:color="808080"/>
        <w:bottom w:val="single" w:sz="4" w:space="0" w:color="808080"/>
        <w:right w:val="single" w:sz="4" w:space="0" w:color="808080"/>
      </w:pBdr>
      <w:shd w:val="clear" w:color="000000" w:fill="A5A5A5"/>
      <w:spacing w:before="100" w:beforeAutospacing="1" w:after="100" w:afterAutospacing="1" w:line="240" w:lineRule="auto"/>
    </w:pPr>
    <w:rPr>
      <w:rFonts w:ascii="Carlito" w:hAnsi="Carlito"/>
      <w:b/>
      <w:bCs/>
      <w:sz w:val="8"/>
      <w:szCs w:val="8"/>
    </w:rPr>
  </w:style>
  <w:style w:type="paragraph" w:customStyle="1" w:styleId="xl65">
    <w:name w:val="xl65"/>
    <w:basedOn w:val="Normal"/>
    <w:rsid w:val="00E01693"/>
    <w:pPr>
      <w:pBdr>
        <w:top w:val="single" w:sz="4" w:space="0" w:color="808080"/>
        <w:left w:val="single" w:sz="4" w:space="14" w:color="808080"/>
        <w:bottom w:val="single" w:sz="4" w:space="0" w:color="808080"/>
        <w:right w:val="single" w:sz="4" w:space="0" w:color="808080"/>
      </w:pBdr>
      <w:shd w:val="clear" w:color="000000" w:fill="A5A5A5"/>
      <w:spacing w:before="100" w:beforeAutospacing="1" w:after="100" w:afterAutospacing="1" w:line="240" w:lineRule="auto"/>
      <w:ind w:firstLineChars="300" w:firstLine="300"/>
      <w:textAlignment w:val="center"/>
    </w:pPr>
    <w:rPr>
      <w:rFonts w:ascii="Carlito" w:hAnsi="Carlito"/>
      <w:b/>
      <w:bCs/>
      <w:sz w:val="8"/>
      <w:szCs w:val="8"/>
    </w:rPr>
  </w:style>
  <w:style w:type="paragraph" w:customStyle="1" w:styleId="xl66">
    <w:name w:val="xl66"/>
    <w:basedOn w:val="Normal"/>
    <w:rsid w:val="00E01693"/>
    <w:pPr>
      <w:pBdr>
        <w:top w:val="single" w:sz="4" w:space="0" w:color="808080"/>
        <w:left w:val="single" w:sz="4" w:space="0" w:color="808080"/>
        <w:bottom w:val="single" w:sz="4" w:space="0" w:color="808080"/>
        <w:right w:val="single" w:sz="4" w:space="0" w:color="808080"/>
      </w:pBdr>
      <w:shd w:val="clear" w:color="000000" w:fill="A5A5A5"/>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E01693"/>
    <w:pPr>
      <w:pBdr>
        <w:top w:val="single" w:sz="4" w:space="0" w:color="808080"/>
        <w:left w:val="single" w:sz="4" w:space="5" w:color="808080"/>
        <w:bottom w:val="single" w:sz="4" w:space="0" w:color="808080"/>
        <w:right w:val="single" w:sz="4" w:space="0" w:color="808080"/>
      </w:pBdr>
      <w:spacing w:before="100" w:beforeAutospacing="1" w:after="100" w:afterAutospacing="1" w:line="240" w:lineRule="auto"/>
      <w:ind w:firstLineChars="100" w:firstLine="100"/>
    </w:pPr>
    <w:rPr>
      <w:rFonts w:ascii="Carlito" w:hAnsi="Carlito"/>
      <w:b/>
      <w:bCs/>
      <w:sz w:val="8"/>
      <w:szCs w:val="8"/>
    </w:rPr>
  </w:style>
  <w:style w:type="paragraph" w:customStyle="1" w:styleId="xl68">
    <w:name w:val="xl68"/>
    <w:basedOn w:val="Normal"/>
    <w:rsid w:val="00E01693"/>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pPr>
    <w:rPr>
      <w:rFonts w:ascii="Carlito" w:hAnsi="Carlito"/>
      <w:sz w:val="8"/>
      <w:szCs w:val="8"/>
    </w:rPr>
  </w:style>
  <w:style w:type="paragraph" w:customStyle="1" w:styleId="xl69">
    <w:name w:val="xl69"/>
    <w:basedOn w:val="Normal"/>
    <w:rsid w:val="00E01693"/>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pPr>
    <w:rPr>
      <w:rFonts w:ascii="Carlito" w:hAnsi="Carlito"/>
      <w:sz w:val="8"/>
      <w:szCs w:val="8"/>
    </w:rPr>
  </w:style>
  <w:style w:type="paragraph" w:customStyle="1" w:styleId="xl70">
    <w:name w:val="xl70"/>
    <w:basedOn w:val="Normal"/>
    <w:rsid w:val="00E01693"/>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pPr>
    <w:rPr>
      <w:rFonts w:ascii="Carlito" w:hAnsi="Carlito"/>
      <w:sz w:val="8"/>
      <w:szCs w:val="8"/>
    </w:rPr>
  </w:style>
  <w:style w:type="paragraph" w:customStyle="1" w:styleId="xl71">
    <w:name w:val="xl71"/>
    <w:basedOn w:val="Normal"/>
    <w:rsid w:val="00E01693"/>
    <w:pPr>
      <w:pBdr>
        <w:top w:val="single" w:sz="4" w:space="0" w:color="808080"/>
        <w:left w:val="single" w:sz="4" w:space="0" w:color="808080"/>
        <w:bottom w:val="single" w:sz="4" w:space="0" w:color="808080"/>
        <w:right w:val="single" w:sz="4" w:space="9" w:color="808080"/>
      </w:pBdr>
      <w:spacing w:before="100" w:beforeAutospacing="1" w:after="100" w:afterAutospacing="1" w:line="240" w:lineRule="auto"/>
      <w:ind w:firstLineChars="200" w:firstLine="200"/>
      <w:jc w:val="right"/>
    </w:pPr>
    <w:rPr>
      <w:rFonts w:ascii="Carlito" w:hAnsi="Carlito"/>
      <w:b/>
      <w:bCs/>
      <w:sz w:val="8"/>
      <w:szCs w:val="8"/>
    </w:rPr>
  </w:style>
  <w:style w:type="paragraph" w:customStyle="1" w:styleId="xl72">
    <w:name w:val="xl72"/>
    <w:basedOn w:val="Normal"/>
    <w:rsid w:val="00E01693"/>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pPr>
    <w:rPr>
      <w:rFonts w:ascii="Carlito" w:hAnsi="Carlito"/>
      <w:b/>
      <w:bCs/>
      <w:sz w:val="8"/>
      <w:szCs w:val="8"/>
    </w:rPr>
  </w:style>
  <w:style w:type="paragraph" w:customStyle="1" w:styleId="xl73">
    <w:name w:val="xl73"/>
    <w:basedOn w:val="Normal"/>
    <w:rsid w:val="00E01693"/>
    <w:pPr>
      <w:pBdr>
        <w:top w:val="single" w:sz="4" w:space="0" w:color="808080"/>
        <w:left w:val="single" w:sz="4" w:space="0" w:color="808080"/>
        <w:bottom w:val="single" w:sz="4" w:space="0" w:color="808080"/>
        <w:right w:val="single" w:sz="4" w:space="0" w:color="808080"/>
      </w:pBdr>
      <w:shd w:val="clear" w:color="000000" w:fill="A5A5A5"/>
      <w:spacing w:before="100" w:beforeAutospacing="1" w:after="100" w:afterAutospacing="1" w:line="240" w:lineRule="auto"/>
    </w:pPr>
    <w:rPr>
      <w:rFonts w:ascii="Carlito" w:hAnsi="Carlito"/>
      <w:b/>
      <w:bCs/>
      <w:color w:val="FFFFFF"/>
      <w:sz w:val="8"/>
      <w:szCs w:val="8"/>
    </w:rPr>
  </w:style>
  <w:style w:type="paragraph" w:customStyle="1" w:styleId="xl74">
    <w:name w:val="xl74"/>
    <w:basedOn w:val="Normal"/>
    <w:rsid w:val="00E01693"/>
    <w:pPr>
      <w:spacing w:before="100" w:beforeAutospacing="1" w:after="100" w:afterAutospacing="1" w:line="240" w:lineRule="auto"/>
      <w:ind w:firstLineChars="100" w:firstLine="100"/>
    </w:pPr>
    <w:rPr>
      <w:rFonts w:ascii="Carlito" w:hAnsi="Carlito"/>
      <w:b/>
      <w:bCs/>
      <w:sz w:val="8"/>
      <w:szCs w:val="8"/>
    </w:rPr>
  </w:style>
  <w:style w:type="paragraph" w:customStyle="1" w:styleId="xl75">
    <w:name w:val="xl75"/>
    <w:basedOn w:val="Normal"/>
    <w:rsid w:val="00E01693"/>
    <w:pPr>
      <w:spacing w:before="100" w:beforeAutospacing="1" w:after="100" w:afterAutospacing="1" w:line="240" w:lineRule="auto"/>
      <w:jc w:val="center"/>
    </w:pPr>
    <w:rPr>
      <w:rFonts w:ascii="Carlito" w:hAnsi="Carlito"/>
      <w:sz w:val="8"/>
      <w:szCs w:val="8"/>
    </w:rPr>
  </w:style>
  <w:style w:type="paragraph" w:customStyle="1" w:styleId="xl76">
    <w:name w:val="xl76"/>
    <w:basedOn w:val="Normal"/>
    <w:rsid w:val="00E01693"/>
    <w:pPr>
      <w:spacing w:before="100" w:beforeAutospacing="1" w:after="100" w:afterAutospacing="1" w:line="240" w:lineRule="auto"/>
    </w:pPr>
    <w:rPr>
      <w:rFonts w:ascii="Carlito" w:hAnsi="Carlito"/>
      <w:sz w:val="8"/>
      <w:szCs w:val="8"/>
    </w:rPr>
  </w:style>
  <w:style w:type="paragraph" w:customStyle="1" w:styleId="xl77">
    <w:name w:val="xl77"/>
    <w:basedOn w:val="Normal"/>
    <w:rsid w:val="00E01693"/>
    <w:pPr>
      <w:pBdr>
        <w:top w:val="single" w:sz="4" w:space="0" w:color="808080"/>
        <w:left w:val="single" w:sz="4" w:space="0" w:color="808080"/>
        <w:right w:val="single" w:sz="4" w:space="0" w:color="808080"/>
      </w:pBdr>
      <w:spacing w:before="100" w:beforeAutospacing="1" w:after="100" w:afterAutospacing="1" w:line="240" w:lineRule="auto"/>
      <w:jc w:val="center"/>
    </w:pPr>
    <w:rPr>
      <w:rFonts w:ascii="Carlito" w:hAnsi="Carlito"/>
      <w:sz w:val="8"/>
      <w:szCs w:val="8"/>
    </w:rPr>
  </w:style>
  <w:style w:type="paragraph" w:customStyle="1" w:styleId="xl78">
    <w:name w:val="xl78"/>
    <w:basedOn w:val="Normal"/>
    <w:rsid w:val="00E0169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rlito" w:hAnsi="Carlito"/>
      <w:b/>
      <w:bCs/>
      <w:sz w:val="8"/>
      <w:szCs w:val="8"/>
    </w:rPr>
  </w:style>
  <w:style w:type="paragraph" w:customStyle="1" w:styleId="xl79">
    <w:name w:val="xl79"/>
    <w:basedOn w:val="Normal"/>
    <w:rsid w:val="00E01693"/>
    <w:pPr>
      <w:spacing w:before="100" w:beforeAutospacing="1" w:after="100" w:afterAutospacing="1" w:line="240" w:lineRule="auto"/>
      <w:ind w:firstLineChars="100" w:firstLine="100"/>
    </w:pPr>
    <w:rPr>
      <w:rFonts w:ascii="Times New Roman" w:hAnsi="Times New Roman"/>
      <w:sz w:val="24"/>
      <w:szCs w:val="24"/>
    </w:rPr>
  </w:style>
  <w:style w:type="paragraph" w:customStyle="1" w:styleId="Default">
    <w:name w:val="Default"/>
    <w:rsid w:val="00E0169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E01693"/>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F13"/>
    <w:rPr>
      <w:rFonts w:ascii="Calibri" w:eastAsia="Times New Roman" w:hAnsi="Calibri"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A0B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B8C"/>
    <w:rPr>
      <w:rFonts w:ascii="Tahoma" w:hAnsi="Tahoma" w:cs="Tahoma"/>
      <w:sz w:val="16"/>
      <w:szCs w:val="16"/>
    </w:rPr>
  </w:style>
  <w:style w:type="paragraph" w:styleId="Encabezado">
    <w:name w:val="header"/>
    <w:basedOn w:val="Normal"/>
    <w:link w:val="EncabezadoCar"/>
    <w:uiPriority w:val="99"/>
    <w:unhideWhenUsed/>
    <w:rsid w:val="005040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40D0"/>
    <w:rPr>
      <w:rFonts w:ascii="Calibri" w:eastAsia="Times New Roman" w:hAnsi="Calibri" w:cs="Times New Roman"/>
      <w:lang w:eastAsia="es-MX"/>
    </w:rPr>
  </w:style>
  <w:style w:type="paragraph" w:styleId="Piedepgina">
    <w:name w:val="footer"/>
    <w:basedOn w:val="Normal"/>
    <w:link w:val="PiedepginaCar"/>
    <w:uiPriority w:val="99"/>
    <w:unhideWhenUsed/>
    <w:rsid w:val="005040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40D0"/>
    <w:rPr>
      <w:rFonts w:ascii="Calibri" w:eastAsia="Times New Roman" w:hAnsi="Calibri" w:cs="Times New Roman"/>
      <w:lang w:eastAsia="es-MX"/>
    </w:rPr>
  </w:style>
  <w:style w:type="paragraph" w:styleId="Prrafodelista">
    <w:name w:val="List Paragraph"/>
    <w:basedOn w:val="Normal"/>
    <w:uiPriority w:val="34"/>
    <w:qFormat/>
    <w:rsid w:val="000A1602"/>
    <w:pPr>
      <w:ind w:left="720"/>
      <w:contextualSpacing/>
    </w:pPr>
    <w:rPr>
      <w:rFonts w:asciiTheme="minorHAnsi" w:eastAsiaTheme="minorEastAsia" w:hAnsiTheme="minorHAnsi" w:cstheme="minorBidi"/>
      <w:lang w:eastAsia="zh-TW"/>
    </w:rPr>
  </w:style>
  <w:style w:type="character" w:styleId="Hipervnculo">
    <w:name w:val="Hyperlink"/>
    <w:basedOn w:val="Fuentedeprrafopredeter"/>
    <w:uiPriority w:val="99"/>
    <w:unhideWhenUsed/>
    <w:rsid w:val="000A1602"/>
    <w:rPr>
      <w:color w:val="0000FF" w:themeColor="hyperlink"/>
      <w:u w:val="single"/>
    </w:rPr>
  </w:style>
  <w:style w:type="table" w:styleId="Tablaconcuadrcula">
    <w:name w:val="Table Grid"/>
    <w:basedOn w:val="Tablanormal"/>
    <w:uiPriority w:val="59"/>
    <w:rsid w:val="00E140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70607252">
      <w:bodyDiv w:val="1"/>
      <w:marLeft w:val="0"/>
      <w:marRight w:val="0"/>
      <w:marTop w:val="0"/>
      <w:marBottom w:val="0"/>
      <w:divBdr>
        <w:top w:val="none" w:sz="0" w:space="0" w:color="auto"/>
        <w:left w:val="none" w:sz="0" w:space="0" w:color="auto"/>
        <w:bottom w:val="none" w:sz="0" w:space="0" w:color="auto"/>
        <w:right w:val="none" w:sz="0" w:space="0" w:color="auto"/>
      </w:divBdr>
    </w:div>
    <w:div w:id="211211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gob.mx/conasami" TargetMode="External"/><Relationship Id="rId18" Type="http://schemas.openxmlformats.org/officeDocument/2006/relationships/image" Target="media/image4.png"/><Relationship Id="rId26" Type="http://schemas.openxmlformats.org/officeDocument/2006/relationships/hyperlink" Target="http://www.gob.mx/conasami"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inegi.org.mx/temas/inpp/" TargetMode="External"/><Relationship Id="rId17" Type="http://schemas.openxmlformats.org/officeDocument/2006/relationships/hyperlink" Target="http://www.gob.mx/cne/articulos/consulta-de-datos-abiertos"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gob.mx/cne/articulos/consulta-de-datos-abiertos%20www.cne.gob.mx/IPG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ne.gob.mx/IPGN/"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inegi.org.mx/temas/inpp" TargetMode="External"/><Relationship Id="rId28" Type="http://schemas.openxmlformats.org/officeDocument/2006/relationships/footer" Target="footer1.xml"/><Relationship Id="rId10" Type="http://schemas.openxmlformats.org/officeDocument/2006/relationships/hyperlink" Target="https://www.gob.mx/cne/articulos/consulta-de-datos-abiertos" TargetMode="External"/><Relationship Id="rId19" Type="http://schemas.openxmlformats.org/officeDocument/2006/relationships/image" Target="media/image5.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www.gob.mx/cne/articulos/consulta-de-datos-abiertos" TargetMode="External"/><Relationship Id="rId14" Type="http://schemas.openxmlformats.org/officeDocument/2006/relationships/hyperlink" Target="https://apiperiodico.jalisco.gob.mx/api/newspaper/getAsset?q=newspaper/22984/1734734280-2024-12-20-.pdf"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0E1BF-733D-46E8-8946-75A1E93FD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3574</Words>
  <Characters>19660</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Alberto Saldaña Pulido</dc:creator>
  <cp:lastModifiedBy>alfredo.gomez</cp:lastModifiedBy>
  <cp:revision>4</cp:revision>
  <cp:lastPrinted>2026-03-30T16:54:00Z</cp:lastPrinted>
  <dcterms:created xsi:type="dcterms:W3CDTF">2026-03-30T16:46:00Z</dcterms:created>
  <dcterms:modified xsi:type="dcterms:W3CDTF">2026-03-30T16:56:00Z</dcterms:modified>
</cp:coreProperties>
</file>